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18B86" w14:textId="3A9F712F" w:rsidR="00DD45EA" w:rsidRPr="00EA718E" w:rsidRDefault="0041497C" w:rsidP="00457CA9">
      <w:pPr>
        <w:spacing w:after="0" w:line="240" w:lineRule="auto"/>
        <w:rPr>
          <w:rFonts w:cstheme="minorHAnsi"/>
        </w:rPr>
      </w:pPr>
      <w:r w:rsidRPr="00EA718E">
        <w:rPr>
          <w:rFonts w:cstheme="minorHAnsi"/>
        </w:rPr>
        <w:t>22</w:t>
      </w:r>
      <w:r w:rsidR="00265D95" w:rsidRPr="00EA718E">
        <w:rPr>
          <w:rFonts w:cstheme="minorHAnsi"/>
        </w:rPr>
        <w:t xml:space="preserve"> </w:t>
      </w:r>
      <w:r w:rsidRPr="00EA718E">
        <w:rPr>
          <w:rFonts w:cstheme="minorHAnsi"/>
        </w:rPr>
        <w:t>April</w:t>
      </w:r>
      <w:r w:rsidR="00DD45EA" w:rsidRPr="00EA718E">
        <w:rPr>
          <w:rFonts w:cstheme="minorHAnsi"/>
        </w:rPr>
        <w:t xml:space="preserve"> 2024</w:t>
      </w:r>
    </w:p>
    <w:p w14:paraId="1531789A" w14:textId="77777777" w:rsidR="00DD45EA" w:rsidRPr="00EA718E" w:rsidRDefault="00DD45EA" w:rsidP="00457CA9">
      <w:pPr>
        <w:pStyle w:val="aa"/>
        <w:shd w:val="clear" w:color="auto" w:fill="FFFFFF"/>
        <w:spacing w:before="0" w:beforeAutospacing="0" w:after="0" w:afterAutospacing="0"/>
        <w:jc w:val="center"/>
        <w:rPr>
          <w:rFonts w:asciiTheme="minorHAnsi" w:hAnsiTheme="minorHAnsi" w:cstheme="minorHAnsi"/>
          <w:color w:val="000000"/>
          <w:sz w:val="22"/>
          <w:szCs w:val="22"/>
        </w:rPr>
      </w:pPr>
      <w:r w:rsidRPr="00EA718E">
        <w:rPr>
          <w:rFonts w:asciiTheme="minorHAnsi" w:hAnsiTheme="minorHAnsi" w:cstheme="minorHAnsi"/>
          <w:b/>
          <w:bCs/>
          <w:color w:val="000000"/>
          <w:sz w:val="22"/>
          <w:szCs w:val="22"/>
        </w:rPr>
        <w:br/>
        <w:t>Ridgecrest plc</w:t>
      </w:r>
    </w:p>
    <w:p w14:paraId="25EC6F75" w14:textId="6CF652D8" w:rsidR="00DD45EA" w:rsidRPr="00EA718E" w:rsidRDefault="00DD45EA" w:rsidP="00457CA9">
      <w:pPr>
        <w:pStyle w:val="aa"/>
        <w:shd w:val="clear" w:color="auto" w:fill="FFFFFF"/>
        <w:spacing w:before="0" w:beforeAutospacing="0" w:after="0" w:afterAutospacing="0"/>
        <w:jc w:val="center"/>
        <w:rPr>
          <w:rFonts w:asciiTheme="minorHAnsi" w:hAnsiTheme="minorHAnsi" w:cstheme="minorHAnsi"/>
          <w:color w:val="000000"/>
          <w:sz w:val="22"/>
          <w:szCs w:val="22"/>
        </w:rPr>
      </w:pPr>
      <w:r w:rsidRPr="00EA718E">
        <w:rPr>
          <w:rFonts w:asciiTheme="minorHAnsi" w:hAnsiTheme="minorHAnsi" w:cstheme="minorHAnsi"/>
          <w:color w:val="000000"/>
          <w:sz w:val="22"/>
          <w:szCs w:val="22"/>
        </w:rPr>
        <w:t xml:space="preserve">("Ridgecrest" or </w:t>
      </w:r>
      <w:r w:rsidR="000970E5" w:rsidRPr="00EA718E">
        <w:rPr>
          <w:rFonts w:asciiTheme="minorHAnsi" w:hAnsiTheme="minorHAnsi" w:cstheme="minorHAnsi"/>
          <w:color w:val="000000"/>
          <w:sz w:val="22"/>
          <w:szCs w:val="22"/>
        </w:rPr>
        <w:t>“</w:t>
      </w:r>
      <w:r w:rsidRPr="00EA718E">
        <w:rPr>
          <w:rFonts w:asciiTheme="minorHAnsi" w:hAnsiTheme="minorHAnsi" w:cstheme="minorHAnsi"/>
          <w:color w:val="000000"/>
          <w:sz w:val="22"/>
          <w:szCs w:val="22"/>
        </w:rPr>
        <w:t>the Company")</w:t>
      </w:r>
    </w:p>
    <w:p w14:paraId="3BAA7824" w14:textId="6B6D1776" w:rsidR="00DD45EA" w:rsidRPr="00EA718E" w:rsidRDefault="0041497C" w:rsidP="00457CA9">
      <w:pPr>
        <w:pStyle w:val="aa"/>
        <w:shd w:val="clear" w:color="auto" w:fill="FFFFFF"/>
        <w:spacing w:before="0" w:beforeAutospacing="0" w:after="0" w:afterAutospacing="0"/>
        <w:jc w:val="center"/>
        <w:rPr>
          <w:rFonts w:asciiTheme="minorHAnsi" w:hAnsiTheme="minorHAnsi" w:cstheme="minorHAnsi"/>
          <w:b/>
          <w:bCs/>
          <w:color w:val="000000"/>
          <w:sz w:val="22"/>
          <w:szCs w:val="22"/>
        </w:rPr>
      </w:pPr>
      <w:r w:rsidRPr="00EA718E">
        <w:rPr>
          <w:rFonts w:asciiTheme="minorHAnsi" w:hAnsiTheme="minorHAnsi" w:cstheme="minorHAnsi"/>
          <w:b/>
          <w:bCs/>
          <w:color w:val="000000"/>
          <w:sz w:val="22"/>
          <w:szCs w:val="22"/>
        </w:rPr>
        <w:t>Notice of General Meeting</w:t>
      </w:r>
    </w:p>
    <w:p w14:paraId="3BA5FB97" w14:textId="77777777" w:rsidR="00457CA9" w:rsidRPr="00EA718E" w:rsidRDefault="00457CA9" w:rsidP="00457CA9">
      <w:pPr>
        <w:pStyle w:val="aa"/>
        <w:shd w:val="clear" w:color="auto" w:fill="FFFFFF"/>
        <w:spacing w:before="0" w:beforeAutospacing="0" w:after="0" w:afterAutospacing="0"/>
        <w:jc w:val="center"/>
        <w:rPr>
          <w:rFonts w:asciiTheme="minorHAnsi" w:hAnsiTheme="minorHAnsi" w:cstheme="minorHAnsi"/>
          <w:b/>
          <w:bCs/>
          <w:color w:val="000000"/>
          <w:sz w:val="22"/>
          <w:szCs w:val="22"/>
        </w:rPr>
      </w:pPr>
    </w:p>
    <w:p w14:paraId="5623DC14" w14:textId="4ADF463B" w:rsidR="00FF75F1" w:rsidRPr="00EA718E" w:rsidRDefault="006E3775" w:rsidP="00457CA9">
      <w:pPr>
        <w:pStyle w:val="aa"/>
        <w:shd w:val="clear" w:color="auto" w:fill="FFFFFF"/>
        <w:spacing w:before="0" w:beforeAutospacing="0" w:after="0" w:afterAutospacing="0"/>
        <w:jc w:val="both"/>
        <w:rPr>
          <w:rFonts w:asciiTheme="minorHAnsi" w:hAnsiTheme="minorHAnsi" w:cstheme="minorHAnsi"/>
          <w:sz w:val="22"/>
          <w:szCs w:val="22"/>
        </w:rPr>
      </w:pPr>
      <w:r w:rsidRPr="00EA718E">
        <w:rPr>
          <w:rFonts w:asciiTheme="minorHAnsi" w:hAnsiTheme="minorHAnsi" w:cstheme="minorHAnsi"/>
          <w:color w:val="000000"/>
          <w:sz w:val="22"/>
          <w:szCs w:val="22"/>
        </w:rPr>
        <w:t>The Company announces th</w:t>
      </w:r>
      <w:r w:rsidR="006627A0" w:rsidRPr="00EA718E">
        <w:rPr>
          <w:rFonts w:asciiTheme="minorHAnsi" w:hAnsiTheme="minorHAnsi" w:cstheme="minorHAnsi"/>
          <w:color w:val="000000"/>
          <w:sz w:val="22"/>
          <w:szCs w:val="22"/>
        </w:rPr>
        <w:t xml:space="preserve">e publication of a </w:t>
      </w:r>
      <w:r w:rsidR="001E6544">
        <w:rPr>
          <w:rFonts w:asciiTheme="minorHAnsi" w:hAnsiTheme="minorHAnsi" w:cstheme="minorHAnsi"/>
          <w:color w:val="000000"/>
          <w:sz w:val="22"/>
          <w:szCs w:val="22"/>
        </w:rPr>
        <w:t>circular</w:t>
      </w:r>
      <w:r w:rsidR="007D4215">
        <w:rPr>
          <w:rFonts w:asciiTheme="minorHAnsi" w:hAnsiTheme="minorHAnsi" w:cstheme="minorHAnsi"/>
          <w:color w:val="000000"/>
          <w:sz w:val="22"/>
          <w:szCs w:val="22"/>
        </w:rPr>
        <w:t xml:space="preserve"> (</w:t>
      </w:r>
      <w:r w:rsidR="004809B5">
        <w:rPr>
          <w:rFonts w:asciiTheme="minorHAnsi" w:hAnsiTheme="minorHAnsi" w:cstheme="minorHAnsi"/>
          <w:color w:val="000000"/>
          <w:sz w:val="22"/>
          <w:szCs w:val="22"/>
        </w:rPr>
        <w:t>“</w:t>
      </w:r>
      <w:r w:rsidR="007D4215">
        <w:rPr>
          <w:rFonts w:asciiTheme="minorHAnsi" w:hAnsiTheme="minorHAnsi" w:cstheme="minorHAnsi"/>
          <w:color w:val="000000"/>
          <w:sz w:val="22"/>
          <w:szCs w:val="22"/>
        </w:rPr>
        <w:t>the Circular”)</w:t>
      </w:r>
      <w:r w:rsidR="001E6544">
        <w:rPr>
          <w:rFonts w:asciiTheme="minorHAnsi" w:hAnsiTheme="minorHAnsi" w:cstheme="minorHAnsi"/>
          <w:color w:val="000000"/>
          <w:sz w:val="22"/>
          <w:szCs w:val="22"/>
        </w:rPr>
        <w:t xml:space="preserve"> containing a </w:t>
      </w:r>
      <w:r w:rsidR="006627A0" w:rsidRPr="00EA718E">
        <w:rPr>
          <w:rFonts w:asciiTheme="minorHAnsi" w:hAnsiTheme="minorHAnsi" w:cstheme="minorHAnsi"/>
          <w:color w:val="000000"/>
          <w:sz w:val="22"/>
          <w:szCs w:val="22"/>
        </w:rPr>
        <w:t xml:space="preserve">notice </w:t>
      </w:r>
      <w:r w:rsidR="001E6544">
        <w:rPr>
          <w:rFonts w:asciiTheme="minorHAnsi" w:hAnsiTheme="minorHAnsi" w:cstheme="minorHAnsi"/>
          <w:color w:val="000000"/>
          <w:sz w:val="22"/>
          <w:szCs w:val="22"/>
        </w:rPr>
        <w:t>to convene a</w:t>
      </w:r>
      <w:r w:rsidR="006627A0" w:rsidRPr="00EA718E">
        <w:rPr>
          <w:rFonts w:asciiTheme="minorHAnsi" w:hAnsiTheme="minorHAnsi" w:cstheme="minorHAnsi"/>
          <w:color w:val="000000"/>
          <w:sz w:val="22"/>
          <w:szCs w:val="22"/>
        </w:rPr>
        <w:t xml:space="preserve"> </w:t>
      </w:r>
      <w:r w:rsidR="001E6544">
        <w:rPr>
          <w:rFonts w:asciiTheme="minorHAnsi" w:hAnsiTheme="minorHAnsi" w:cstheme="minorHAnsi"/>
          <w:color w:val="000000"/>
          <w:sz w:val="22"/>
          <w:szCs w:val="22"/>
        </w:rPr>
        <w:t>g</w:t>
      </w:r>
      <w:r w:rsidR="006627A0" w:rsidRPr="00EA718E">
        <w:rPr>
          <w:rFonts w:asciiTheme="minorHAnsi" w:hAnsiTheme="minorHAnsi" w:cstheme="minorHAnsi"/>
          <w:color w:val="000000"/>
          <w:sz w:val="22"/>
          <w:szCs w:val="22"/>
        </w:rPr>
        <w:t xml:space="preserve">eneral </w:t>
      </w:r>
      <w:r w:rsidR="001E6544">
        <w:rPr>
          <w:rFonts w:asciiTheme="minorHAnsi" w:hAnsiTheme="minorHAnsi" w:cstheme="minorHAnsi"/>
          <w:color w:val="000000"/>
          <w:sz w:val="22"/>
          <w:szCs w:val="22"/>
        </w:rPr>
        <w:t>m</w:t>
      </w:r>
      <w:r w:rsidR="006627A0" w:rsidRPr="00EA718E">
        <w:rPr>
          <w:rFonts w:asciiTheme="minorHAnsi" w:hAnsiTheme="minorHAnsi" w:cstheme="minorHAnsi"/>
          <w:color w:val="000000"/>
          <w:sz w:val="22"/>
          <w:szCs w:val="22"/>
        </w:rPr>
        <w:t>eeting</w:t>
      </w:r>
      <w:r w:rsidR="007D4215">
        <w:rPr>
          <w:rFonts w:asciiTheme="minorHAnsi" w:hAnsiTheme="minorHAnsi" w:cstheme="minorHAnsi"/>
          <w:color w:val="000000"/>
          <w:sz w:val="22"/>
          <w:szCs w:val="22"/>
        </w:rPr>
        <w:t xml:space="preserve"> of shareholders</w:t>
      </w:r>
      <w:r w:rsidR="001E6544">
        <w:rPr>
          <w:rFonts w:asciiTheme="minorHAnsi" w:hAnsiTheme="minorHAnsi" w:cstheme="minorHAnsi"/>
          <w:color w:val="000000"/>
          <w:sz w:val="22"/>
          <w:szCs w:val="22"/>
        </w:rPr>
        <w:t xml:space="preserve"> (</w:t>
      </w:r>
      <w:r w:rsidR="004809B5">
        <w:rPr>
          <w:rFonts w:asciiTheme="minorHAnsi" w:hAnsiTheme="minorHAnsi" w:cstheme="minorHAnsi"/>
          <w:color w:val="000000"/>
          <w:sz w:val="22"/>
          <w:szCs w:val="22"/>
        </w:rPr>
        <w:t>“</w:t>
      </w:r>
      <w:r w:rsidR="00BE7C55">
        <w:rPr>
          <w:rFonts w:asciiTheme="minorHAnsi" w:hAnsiTheme="minorHAnsi" w:cstheme="minorHAnsi"/>
          <w:color w:val="000000"/>
          <w:sz w:val="22"/>
          <w:szCs w:val="22"/>
        </w:rPr>
        <w:t xml:space="preserve">the </w:t>
      </w:r>
      <w:r w:rsidR="001E6544">
        <w:rPr>
          <w:rFonts w:asciiTheme="minorHAnsi" w:hAnsiTheme="minorHAnsi" w:cstheme="minorHAnsi"/>
          <w:color w:val="000000"/>
          <w:sz w:val="22"/>
          <w:szCs w:val="22"/>
        </w:rPr>
        <w:t>Ge</w:t>
      </w:r>
      <w:r w:rsidR="007D4215">
        <w:rPr>
          <w:rFonts w:asciiTheme="minorHAnsi" w:hAnsiTheme="minorHAnsi" w:cstheme="minorHAnsi"/>
          <w:color w:val="000000"/>
          <w:sz w:val="22"/>
          <w:szCs w:val="22"/>
        </w:rPr>
        <w:t>neral Meeting”)</w:t>
      </w:r>
      <w:r w:rsidR="004809B5">
        <w:rPr>
          <w:rFonts w:asciiTheme="minorHAnsi" w:hAnsiTheme="minorHAnsi" w:cstheme="minorHAnsi"/>
          <w:color w:val="000000"/>
          <w:sz w:val="22"/>
          <w:szCs w:val="22"/>
        </w:rPr>
        <w:t>. The Circular and the notice can be found</w:t>
      </w:r>
      <w:r w:rsidR="006627A0" w:rsidRPr="00EA718E">
        <w:rPr>
          <w:rFonts w:asciiTheme="minorHAnsi" w:hAnsiTheme="minorHAnsi" w:cstheme="minorHAnsi"/>
          <w:color w:val="000000"/>
          <w:sz w:val="22"/>
          <w:szCs w:val="22"/>
        </w:rPr>
        <w:t xml:space="preserve"> on </w:t>
      </w:r>
      <w:r w:rsidR="004809B5">
        <w:rPr>
          <w:rFonts w:asciiTheme="minorHAnsi" w:hAnsiTheme="minorHAnsi" w:cstheme="minorHAnsi"/>
          <w:color w:val="000000"/>
          <w:sz w:val="22"/>
          <w:szCs w:val="22"/>
        </w:rPr>
        <w:t>the Company’s</w:t>
      </w:r>
      <w:r w:rsidR="004809B5" w:rsidRPr="00EA718E">
        <w:rPr>
          <w:rFonts w:asciiTheme="minorHAnsi" w:hAnsiTheme="minorHAnsi" w:cstheme="minorHAnsi"/>
          <w:color w:val="000000"/>
          <w:sz w:val="22"/>
          <w:szCs w:val="22"/>
        </w:rPr>
        <w:t xml:space="preserve"> </w:t>
      </w:r>
      <w:r w:rsidR="006627A0" w:rsidRPr="00EA718E">
        <w:rPr>
          <w:rFonts w:asciiTheme="minorHAnsi" w:hAnsiTheme="minorHAnsi" w:cstheme="minorHAnsi"/>
          <w:color w:val="000000"/>
          <w:sz w:val="22"/>
          <w:szCs w:val="22"/>
        </w:rPr>
        <w:t xml:space="preserve">website </w:t>
      </w:r>
      <w:r w:rsidR="00BE7C55">
        <w:rPr>
          <w:rFonts w:asciiTheme="minorHAnsi" w:hAnsiTheme="minorHAnsi" w:cstheme="minorHAnsi"/>
          <w:color w:val="000000"/>
          <w:sz w:val="22"/>
          <w:szCs w:val="22"/>
        </w:rPr>
        <w:t xml:space="preserve">- </w:t>
      </w:r>
      <w:hyperlink r:id="rId8" w:history="1">
        <w:r w:rsidR="00BE7C55" w:rsidRPr="00BE7C55">
          <w:rPr>
            <w:rStyle w:val="Hyperlink"/>
            <w:rFonts w:asciiTheme="minorHAnsi" w:hAnsiTheme="minorHAnsi" w:cstheme="minorHAnsi"/>
            <w:sz w:val="22"/>
            <w:szCs w:val="22"/>
          </w:rPr>
          <w:t>https://www.ridgecrestplc.com/</w:t>
        </w:r>
      </w:hyperlink>
      <w:r w:rsidR="009A5A29" w:rsidRPr="00EA718E">
        <w:rPr>
          <w:rFonts w:asciiTheme="minorHAnsi" w:hAnsiTheme="minorHAnsi" w:cstheme="minorHAnsi"/>
          <w:sz w:val="22"/>
          <w:szCs w:val="22"/>
        </w:rPr>
        <w:t xml:space="preserve">. Hard copies of the </w:t>
      </w:r>
      <w:r w:rsidR="002F7414">
        <w:rPr>
          <w:rFonts w:asciiTheme="minorHAnsi" w:hAnsiTheme="minorHAnsi" w:cstheme="minorHAnsi"/>
          <w:sz w:val="22"/>
          <w:szCs w:val="22"/>
        </w:rPr>
        <w:t>Circular</w:t>
      </w:r>
      <w:r w:rsidR="002F7414" w:rsidRPr="00EA718E">
        <w:rPr>
          <w:rFonts w:asciiTheme="minorHAnsi" w:hAnsiTheme="minorHAnsi" w:cstheme="minorHAnsi"/>
          <w:sz w:val="22"/>
          <w:szCs w:val="22"/>
        </w:rPr>
        <w:t xml:space="preserve"> </w:t>
      </w:r>
      <w:r w:rsidR="009A5A29" w:rsidRPr="00EA718E">
        <w:rPr>
          <w:rFonts w:asciiTheme="minorHAnsi" w:hAnsiTheme="minorHAnsi" w:cstheme="minorHAnsi"/>
          <w:sz w:val="22"/>
          <w:szCs w:val="22"/>
        </w:rPr>
        <w:t xml:space="preserve">will be posted today to shareholders that have elected to receive printed copies of shareholder documents. </w:t>
      </w:r>
    </w:p>
    <w:p w14:paraId="0068D786" w14:textId="77777777" w:rsidR="009A5A29" w:rsidRPr="00EA718E" w:rsidRDefault="009A5A29" w:rsidP="00457CA9">
      <w:pPr>
        <w:pStyle w:val="aa"/>
        <w:shd w:val="clear" w:color="auto" w:fill="FFFFFF"/>
        <w:spacing w:before="0" w:beforeAutospacing="0" w:after="0" w:afterAutospacing="0"/>
        <w:jc w:val="both"/>
        <w:rPr>
          <w:rFonts w:asciiTheme="minorHAnsi" w:hAnsiTheme="minorHAnsi" w:cstheme="minorHAnsi"/>
          <w:sz w:val="22"/>
          <w:szCs w:val="22"/>
        </w:rPr>
      </w:pPr>
    </w:p>
    <w:p w14:paraId="7383E08D" w14:textId="19D6D706" w:rsidR="009A5A29" w:rsidRPr="00EA718E" w:rsidRDefault="009A5A29" w:rsidP="00457CA9">
      <w:pPr>
        <w:pStyle w:val="aa"/>
        <w:shd w:val="clear" w:color="auto" w:fill="FFFFFF"/>
        <w:spacing w:before="0" w:beforeAutospacing="0" w:after="0" w:afterAutospacing="0"/>
        <w:jc w:val="both"/>
        <w:rPr>
          <w:rFonts w:asciiTheme="minorHAnsi" w:hAnsiTheme="minorHAnsi" w:cstheme="minorHAnsi"/>
          <w:color w:val="231F20"/>
          <w:sz w:val="22"/>
          <w:szCs w:val="22"/>
        </w:rPr>
      </w:pPr>
      <w:r w:rsidRPr="00EA718E">
        <w:rPr>
          <w:rFonts w:asciiTheme="minorHAnsi" w:hAnsiTheme="minorHAnsi" w:cstheme="minorHAnsi"/>
          <w:sz w:val="22"/>
          <w:szCs w:val="22"/>
        </w:rPr>
        <w:t xml:space="preserve">The General Meeting will be held at </w:t>
      </w:r>
      <w:r w:rsidR="005521AA" w:rsidRPr="00EA718E">
        <w:rPr>
          <w:rFonts w:asciiTheme="minorHAnsi" w:hAnsiTheme="minorHAnsi" w:cstheme="minorHAnsi"/>
          <w:sz w:val="22"/>
          <w:szCs w:val="22"/>
        </w:rPr>
        <w:t>1</w:t>
      </w:r>
      <w:r w:rsidR="006A6E62">
        <w:rPr>
          <w:rFonts w:asciiTheme="minorHAnsi" w:hAnsiTheme="minorHAnsi" w:cstheme="minorHAnsi"/>
          <w:sz w:val="22"/>
          <w:szCs w:val="22"/>
        </w:rPr>
        <w:t>1</w:t>
      </w:r>
      <w:r w:rsidR="00BE7C55">
        <w:rPr>
          <w:rFonts w:asciiTheme="minorHAnsi" w:hAnsiTheme="minorHAnsi" w:cstheme="minorHAnsi"/>
          <w:sz w:val="22"/>
          <w:szCs w:val="22"/>
        </w:rPr>
        <w:t xml:space="preserve">.00 </w:t>
      </w:r>
      <w:r w:rsidR="005521AA" w:rsidRPr="00EA718E">
        <w:rPr>
          <w:rFonts w:asciiTheme="minorHAnsi" w:hAnsiTheme="minorHAnsi" w:cstheme="minorHAnsi"/>
          <w:sz w:val="22"/>
          <w:szCs w:val="22"/>
        </w:rPr>
        <w:t xml:space="preserve">am on </w:t>
      </w:r>
      <w:r w:rsidR="0080373B">
        <w:rPr>
          <w:rFonts w:asciiTheme="minorHAnsi" w:hAnsiTheme="minorHAnsi" w:cstheme="minorHAnsi"/>
          <w:sz w:val="22"/>
          <w:szCs w:val="22"/>
        </w:rPr>
        <w:t xml:space="preserve">9 </w:t>
      </w:r>
      <w:r w:rsidR="005521AA" w:rsidRPr="00EA718E">
        <w:rPr>
          <w:rFonts w:asciiTheme="minorHAnsi" w:hAnsiTheme="minorHAnsi" w:cstheme="minorHAnsi"/>
          <w:sz w:val="22"/>
          <w:szCs w:val="22"/>
        </w:rPr>
        <w:t xml:space="preserve">May 2024 at the offices of </w:t>
      </w:r>
      <w:r w:rsidR="005521AA" w:rsidRPr="00EA718E">
        <w:rPr>
          <w:rFonts w:asciiTheme="minorHAnsi" w:hAnsiTheme="minorHAnsi" w:cstheme="minorHAnsi"/>
          <w:color w:val="231F20"/>
          <w:sz w:val="22"/>
          <w:szCs w:val="22"/>
        </w:rPr>
        <w:t>Allenby Capital</w:t>
      </w:r>
      <w:r w:rsidR="005521AA" w:rsidRPr="00EA718E">
        <w:rPr>
          <w:rFonts w:asciiTheme="minorHAnsi" w:hAnsiTheme="minorHAnsi" w:cstheme="minorHAnsi"/>
          <w:color w:val="231F20"/>
          <w:spacing w:val="-7"/>
          <w:sz w:val="22"/>
          <w:szCs w:val="22"/>
        </w:rPr>
        <w:t xml:space="preserve"> </w:t>
      </w:r>
      <w:r w:rsidR="005521AA" w:rsidRPr="00EA718E">
        <w:rPr>
          <w:rFonts w:asciiTheme="minorHAnsi" w:hAnsiTheme="minorHAnsi" w:cstheme="minorHAnsi"/>
          <w:color w:val="231F20"/>
          <w:sz w:val="22"/>
          <w:szCs w:val="22"/>
        </w:rPr>
        <w:t>Limited,</w:t>
      </w:r>
      <w:r w:rsidR="005521AA" w:rsidRPr="00EA718E">
        <w:rPr>
          <w:rFonts w:asciiTheme="minorHAnsi" w:hAnsiTheme="minorHAnsi" w:cstheme="minorHAnsi"/>
          <w:color w:val="231F20"/>
          <w:spacing w:val="-8"/>
          <w:sz w:val="22"/>
          <w:szCs w:val="22"/>
        </w:rPr>
        <w:t xml:space="preserve"> </w:t>
      </w:r>
      <w:r w:rsidR="005521AA" w:rsidRPr="00EA718E">
        <w:rPr>
          <w:rFonts w:asciiTheme="minorHAnsi" w:hAnsiTheme="minorHAnsi" w:cstheme="minorHAnsi"/>
          <w:color w:val="231F20"/>
          <w:sz w:val="22"/>
          <w:szCs w:val="22"/>
        </w:rPr>
        <w:t>5</w:t>
      </w:r>
      <w:r w:rsidR="005521AA" w:rsidRPr="00EA718E">
        <w:rPr>
          <w:rFonts w:asciiTheme="minorHAnsi" w:hAnsiTheme="minorHAnsi" w:cstheme="minorHAnsi"/>
          <w:color w:val="231F20"/>
          <w:sz w:val="22"/>
          <w:szCs w:val="22"/>
          <w:vertAlign w:val="superscript"/>
        </w:rPr>
        <w:t>th</w:t>
      </w:r>
      <w:r w:rsidR="005521AA" w:rsidRPr="00EA718E">
        <w:rPr>
          <w:rFonts w:asciiTheme="minorHAnsi" w:hAnsiTheme="minorHAnsi" w:cstheme="minorHAnsi"/>
          <w:color w:val="231F20"/>
          <w:spacing w:val="-1"/>
          <w:sz w:val="22"/>
          <w:szCs w:val="22"/>
        </w:rPr>
        <w:t xml:space="preserve"> </w:t>
      </w:r>
      <w:r w:rsidR="005521AA" w:rsidRPr="00EA718E">
        <w:rPr>
          <w:rFonts w:asciiTheme="minorHAnsi" w:hAnsiTheme="minorHAnsi" w:cstheme="minorHAnsi"/>
          <w:color w:val="231F20"/>
          <w:sz w:val="22"/>
          <w:szCs w:val="22"/>
        </w:rPr>
        <w:t>Floor,</w:t>
      </w:r>
      <w:r w:rsidR="005521AA" w:rsidRPr="00EA718E">
        <w:rPr>
          <w:rFonts w:asciiTheme="minorHAnsi" w:hAnsiTheme="minorHAnsi" w:cstheme="minorHAnsi"/>
          <w:color w:val="231F20"/>
          <w:spacing w:val="-2"/>
          <w:sz w:val="22"/>
          <w:szCs w:val="22"/>
        </w:rPr>
        <w:t xml:space="preserve"> </w:t>
      </w:r>
      <w:r w:rsidR="005521AA" w:rsidRPr="00EA718E">
        <w:rPr>
          <w:rFonts w:asciiTheme="minorHAnsi" w:hAnsiTheme="minorHAnsi" w:cstheme="minorHAnsi"/>
          <w:color w:val="231F20"/>
          <w:sz w:val="22"/>
          <w:szCs w:val="22"/>
        </w:rPr>
        <w:t>5</w:t>
      </w:r>
      <w:r w:rsidR="005521AA" w:rsidRPr="00EA718E">
        <w:rPr>
          <w:rFonts w:asciiTheme="minorHAnsi" w:hAnsiTheme="minorHAnsi" w:cstheme="minorHAnsi"/>
          <w:color w:val="231F20"/>
          <w:spacing w:val="-2"/>
          <w:sz w:val="22"/>
          <w:szCs w:val="22"/>
        </w:rPr>
        <w:t xml:space="preserve"> </w:t>
      </w:r>
      <w:r w:rsidR="005521AA" w:rsidRPr="00EA718E">
        <w:rPr>
          <w:rFonts w:asciiTheme="minorHAnsi" w:hAnsiTheme="minorHAnsi" w:cstheme="minorHAnsi"/>
          <w:color w:val="231F20"/>
          <w:sz w:val="22"/>
          <w:szCs w:val="22"/>
        </w:rPr>
        <w:t>St</w:t>
      </w:r>
      <w:r w:rsidR="005521AA" w:rsidRPr="00EA718E">
        <w:rPr>
          <w:rFonts w:asciiTheme="minorHAnsi" w:hAnsiTheme="minorHAnsi" w:cstheme="minorHAnsi"/>
          <w:color w:val="231F20"/>
          <w:spacing w:val="-2"/>
          <w:sz w:val="22"/>
          <w:szCs w:val="22"/>
        </w:rPr>
        <w:t xml:space="preserve"> </w:t>
      </w:r>
      <w:r w:rsidR="005521AA" w:rsidRPr="00EA718E">
        <w:rPr>
          <w:rFonts w:asciiTheme="minorHAnsi" w:hAnsiTheme="minorHAnsi" w:cstheme="minorHAnsi"/>
          <w:color w:val="231F20"/>
          <w:sz w:val="22"/>
          <w:szCs w:val="22"/>
        </w:rPr>
        <w:t>Helen's</w:t>
      </w:r>
      <w:r w:rsidR="005521AA" w:rsidRPr="00EA718E">
        <w:rPr>
          <w:rFonts w:asciiTheme="minorHAnsi" w:hAnsiTheme="minorHAnsi" w:cstheme="minorHAnsi"/>
          <w:color w:val="231F20"/>
          <w:spacing w:val="-2"/>
          <w:sz w:val="22"/>
          <w:szCs w:val="22"/>
        </w:rPr>
        <w:t xml:space="preserve"> </w:t>
      </w:r>
      <w:r w:rsidR="005521AA" w:rsidRPr="00EA718E">
        <w:rPr>
          <w:rFonts w:asciiTheme="minorHAnsi" w:hAnsiTheme="minorHAnsi" w:cstheme="minorHAnsi"/>
          <w:color w:val="231F20"/>
          <w:sz w:val="22"/>
          <w:szCs w:val="22"/>
        </w:rPr>
        <w:t>Place,</w:t>
      </w:r>
      <w:r w:rsidR="005521AA" w:rsidRPr="00EA718E">
        <w:rPr>
          <w:rFonts w:asciiTheme="minorHAnsi" w:hAnsiTheme="minorHAnsi" w:cstheme="minorHAnsi"/>
          <w:color w:val="231F20"/>
          <w:spacing w:val="-2"/>
          <w:sz w:val="22"/>
          <w:szCs w:val="22"/>
        </w:rPr>
        <w:t xml:space="preserve"> </w:t>
      </w:r>
      <w:r w:rsidR="005521AA" w:rsidRPr="00EA718E">
        <w:rPr>
          <w:rFonts w:asciiTheme="minorHAnsi" w:hAnsiTheme="minorHAnsi" w:cstheme="minorHAnsi"/>
          <w:color w:val="231F20"/>
          <w:sz w:val="22"/>
          <w:szCs w:val="22"/>
        </w:rPr>
        <w:t>London</w:t>
      </w:r>
      <w:r w:rsidR="005521AA" w:rsidRPr="00EA718E">
        <w:rPr>
          <w:rFonts w:asciiTheme="minorHAnsi" w:hAnsiTheme="minorHAnsi" w:cstheme="minorHAnsi"/>
          <w:color w:val="231F20"/>
          <w:spacing w:val="-2"/>
          <w:sz w:val="22"/>
          <w:szCs w:val="22"/>
        </w:rPr>
        <w:t xml:space="preserve"> </w:t>
      </w:r>
      <w:r w:rsidR="005521AA" w:rsidRPr="00EA718E">
        <w:rPr>
          <w:rFonts w:asciiTheme="minorHAnsi" w:hAnsiTheme="minorHAnsi" w:cstheme="minorHAnsi"/>
          <w:color w:val="231F20"/>
          <w:sz w:val="22"/>
          <w:szCs w:val="22"/>
        </w:rPr>
        <w:t>EC3A</w:t>
      </w:r>
      <w:r w:rsidR="005521AA" w:rsidRPr="00EA718E">
        <w:rPr>
          <w:rFonts w:asciiTheme="minorHAnsi" w:hAnsiTheme="minorHAnsi" w:cstheme="minorHAnsi"/>
          <w:color w:val="231F20"/>
          <w:spacing w:val="-2"/>
          <w:sz w:val="22"/>
          <w:szCs w:val="22"/>
        </w:rPr>
        <w:t xml:space="preserve"> </w:t>
      </w:r>
      <w:r w:rsidR="005521AA" w:rsidRPr="00EA718E">
        <w:rPr>
          <w:rFonts w:asciiTheme="minorHAnsi" w:hAnsiTheme="minorHAnsi" w:cstheme="minorHAnsi"/>
          <w:color w:val="231F20"/>
          <w:sz w:val="22"/>
          <w:szCs w:val="22"/>
        </w:rPr>
        <w:t>6AB.</w:t>
      </w:r>
    </w:p>
    <w:p w14:paraId="3EF8DFB9" w14:textId="77777777" w:rsidR="005521AA" w:rsidRPr="00EA718E" w:rsidRDefault="005521AA" w:rsidP="00457CA9">
      <w:pPr>
        <w:pStyle w:val="aa"/>
        <w:shd w:val="clear" w:color="auto" w:fill="FFFFFF"/>
        <w:spacing w:before="0" w:beforeAutospacing="0" w:after="0" w:afterAutospacing="0"/>
        <w:jc w:val="both"/>
        <w:rPr>
          <w:rFonts w:asciiTheme="minorHAnsi" w:hAnsiTheme="minorHAnsi" w:cstheme="minorHAnsi"/>
          <w:color w:val="231F20"/>
          <w:sz w:val="22"/>
          <w:szCs w:val="22"/>
        </w:rPr>
      </w:pPr>
    </w:p>
    <w:p w14:paraId="0D8B5D54" w14:textId="40EAFB5C" w:rsidR="005521AA" w:rsidRDefault="00F4162D" w:rsidP="00457CA9">
      <w:pPr>
        <w:pStyle w:val="aa"/>
        <w:shd w:val="clear" w:color="auto" w:fill="FFFFFF"/>
        <w:spacing w:before="0" w:beforeAutospacing="0" w:after="0" w:afterAutospacing="0"/>
        <w:jc w:val="both"/>
        <w:rPr>
          <w:rFonts w:asciiTheme="minorHAnsi" w:hAnsiTheme="minorHAnsi" w:cstheme="minorHAnsi"/>
          <w:color w:val="231F20"/>
          <w:sz w:val="22"/>
          <w:szCs w:val="22"/>
        </w:rPr>
      </w:pPr>
      <w:r>
        <w:rPr>
          <w:rFonts w:asciiTheme="minorHAnsi" w:hAnsiTheme="minorHAnsi" w:cstheme="minorHAnsi"/>
          <w:color w:val="231F20"/>
          <w:sz w:val="22"/>
          <w:szCs w:val="22"/>
        </w:rPr>
        <w:t xml:space="preserve">An extract from a </w:t>
      </w:r>
      <w:r w:rsidR="00EA718E" w:rsidRPr="00EA718E">
        <w:rPr>
          <w:rFonts w:asciiTheme="minorHAnsi" w:hAnsiTheme="minorHAnsi" w:cstheme="minorHAnsi"/>
          <w:color w:val="231F20"/>
          <w:sz w:val="22"/>
          <w:szCs w:val="22"/>
        </w:rPr>
        <w:t>letter from the join</w:t>
      </w:r>
      <w:r w:rsidR="00AE3E05">
        <w:rPr>
          <w:rFonts w:asciiTheme="minorHAnsi" w:hAnsiTheme="minorHAnsi" w:cstheme="minorHAnsi"/>
          <w:color w:val="231F20"/>
          <w:sz w:val="22"/>
          <w:szCs w:val="22"/>
        </w:rPr>
        <w:t>t</w:t>
      </w:r>
      <w:r w:rsidR="00EA718E" w:rsidRPr="00EA718E">
        <w:rPr>
          <w:rFonts w:asciiTheme="minorHAnsi" w:hAnsiTheme="minorHAnsi" w:cstheme="minorHAnsi"/>
          <w:color w:val="231F20"/>
          <w:sz w:val="22"/>
          <w:szCs w:val="22"/>
        </w:rPr>
        <w:t xml:space="preserve"> Non-Executive Chairmen contained within the </w:t>
      </w:r>
      <w:r w:rsidR="007D4215">
        <w:rPr>
          <w:rFonts w:asciiTheme="minorHAnsi" w:hAnsiTheme="minorHAnsi" w:cstheme="minorHAnsi"/>
          <w:color w:val="231F20"/>
          <w:sz w:val="22"/>
          <w:szCs w:val="22"/>
        </w:rPr>
        <w:t>Circular</w:t>
      </w:r>
      <w:r w:rsidR="00EA718E" w:rsidRPr="00EA718E">
        <w:rPr>
          <w:rFonts w:asciiTheme="minorHAnsi" w:hAnsiTheme="minorHAnsi" w:cstheme="minorHAnsi"/>
          <w:color w:val="231F20"/>
          <w:sz w:val="22"/>
          <w:szCs w:val="22"/>
        </w:rPr>
        <w:t xml:space="preserve"> is set out below</w:t>
      </w:r>
      <w:r w:rsidR="00AE3E05">
        <w:rPr>
          <w:rFonts w:asciiTheme="minorHAnsi" w:hAnsiTheme="minorHAnsi" w:cstheme="minorHAnsi"/>
          <w:color w:val="231F20"/>
          <w:sz w:val="22"/>
          <w:szCs w:val="22"/>
        </w:rPr>
        <w:t>.</w:t>
      </w:r>
    </w:p>
    <w:p w14:paraId="2C6975E5" w14:textId="77777777" w:rsidR="00982E5F" w:rsidRDefault="00982E5F" w:rsidP="00457CA9">
      <w:pPr>
        <w:pStyle w:val="aa"/>
        <w:shd w:val="clear" w:color="auto" w:fill="FFFFFF"/>
        <w:spacing w:before="0" w:beforeAutospacing="0" w:after="0" w:afterAutospacing="0"/>
        <w:jc w:val="both"/>
        <w:rPr>
          <w:rFonts w:asciiTheme="minorHAnsi" w:hAnsiTheme="minorHAnsi" w:cstheme="minorHAnsi"/>
          <w:color w:val="231F20"/>
          <w:sz w:val="22"/>
          <w:szCs w:val="22"/>
        </w:rPr>
      </w:pPr>
    </w:p>
    <w:tbl>
      <w:tblPr>
        <w:tblW w:w="9072" w:type="dxa"/>
        <w:tblInd w:w="-216" w:type="dxa"/>
        <w:shd w:val="clear" w:color="auto" w:fill="FFFFFF"/>
        <w:tblCellMar>
          <w:left w:w="0" w:type="dxa"/>
          <w:right w:w="0" w:type="dxa"/>
        </w:tblCellMar>
        <w:tblLook w:val="04A0" w:firstRow="1" w:lastRow="0" w:firstColumn="1" w:lastColumn="0" w:noHBand="0" w:noVBand="1"/>
      </w:tblPr>
      <w:tblGrid>
        <w:gridCol w:w="5161"/>
        <w:gridCol w:w="3911"/>
      </w:tblGrid>
      <w:tr w:rsidR="00982E5F" w:rsidRPr="00EA718E" w14:paraId="1644624F" w14:textId="77777777" w:rsidTr="00C479F1">
        <w:trPr>
          <w:trHeight w:val="300"/>
        </w:trPr>
        <w:tc>
          <w:tcPr>
            <w:tcW w:w="4915" w:type="dxa"/>
            <w:shd w:val="clear" w:color="auto" w:fill="FFFFFF"/>
            <w:tcMar>
              <w:top w:w="0" w:type="dxa"/>
              <w:left w:w="108" w:type="dxa"/>
              <w:bottom w:w="0" w:type="dxa"/>
              <w:right w:w="108" w:type="dxa"/>
            </w:tcMar>
            <w:vAlign w:val="bottom"/>
            <w:hideMark/>
          </w:tcPr>
          <w:p w14:paraId="2F97F815" w14:textId="77777777" w:rsidR="00982E5F" w:rsidRPr="00EA718E" w:rsidRDefault="00982E5F" w:rsidP="00C479F1">
            <w:pPr>
              <w:spacing w:after="0" w:line="240" w:lineRule="auto"/>
              <w:rPr>
                <w:rFonts w:eastAsia="Times New Roman" w:cstheme="minorHAnsi"/>
                <w:color w:val="000000"/>
                <w:kern w:val="0"/>
                <w:lang w:eastAsia="en-GB"/>
                <w14:ligatures w14:val="none"/>
              </w:rPr>
            </w:pPr>
            <w:r w:rsidRPr="00EA718E">
              <w:rPr>
                <w:rFonts w:eastAsia="Times New Roman" w:cstheme="minorHAnsi"/>
                <w:b/>
                <w:bCs/>
                <w:color w:val="000000"/>
                <w:kern w:val="0"/>
                <w:lang w:eastAsia="en-GB"/>
                <w14:ligatures w14:val="none"/>
              </w:rPr>
              <w:t>Enquiries:</w:t>
            </w:r>
          </w:p>
          <w:p w14:paraId="7415063B" w14:textId="77777777" w:rsidR="00982E5F" w:rsidRPr="00EA718E" w:rsidRDefault="00982E5F" w:rsidP="00C479F1">
            <w:pPr>
              <w:spacing w:after="0" w:line="240" w:lineRule="auto"/>
              <w:rPr>
                <w:rFonts w:eastAsia="Times New Roman" w:cstheme="minorHAnsi"/>
                <w:color w:val="000000"/>
                <w:kern w:val="0"/>
                <w:lang w:eastAsia="en-GB"/>
                <w14:ligatures w14:val="none"/>
              </w:rPr>
            </w:pPr>
            <w:r w:rsidRPr="00EA718E">
              <w:rPr>
                <w:rFonts w:eastAsia="Times New Roman" w:cstheme="minorHAnsi"/>
                <w:b/>
                <w:bCs/>
                <w:color w:val="000000"/>
                <w:kern w:val="0"/>
                <w:lang w:eastAsia="en-GB"/>
                <w14:ligatures w14:val="none"/>
              </w:rPr>
              <w:t> </w:t>
            </w:r>
          </w:p>
          <w:p w14:paraId="659D0602" w14:textId="77777777" w:rsidR="00982E5F" w:rsidRPr="00EA718E" w:rsidRDefault="00982E5F" w:rsidP="00C479F1">
            <w:pPr>
              <w:spacing w:after="0" w:line="240" w:lineRule="auto"/>
              <w:rPr>
                <w:rFonts w:eastAsia="Times New Roman" w:cstheme="minorHAnsi"/>
                <w:color w:val="000000"/>
                <w:kern w:val="0"/>
                <w:lang w:eastAsia="en-GB"/>
                <w14:ligatures w14:val="none"/>
              </w:rPr>
            </w:pPr>
            <w:r w:rsidRPr="00EA718E">
              <w:rPr>
                <w:rFonts w:eastAsia="Times New Roman" w:cstheme="minorHAnsi"/>
                <w:b/>
                <w:bCs/>
                <w:color w:val="000000"/>
                <w:kern w:val="0"/>
                <w:lang w:eastAsia="en-GB"/>
                <w14:ligatures w14:val="none"/>
              </w:rPr>
              <w:t>Ridgecrest plc</w:t>
            </w:r>
          </w:p>
        </w:tc>
        <w:tc>
          <w:tcPr>
            <w:tcW w:w="3725" w:type="dxa"/>
            <w:shd w:val="clear" w:color="auto" w:fill="FFFFFF"/>
            <w:tcMar>
              <w:top w:w="0" w:type="dxa"/>
              <w:left w:w="108" w:type="dxa"/>
              <w:bottom w:w="0" w:type="dxa"/>
              <w:right w:w="108" w:type="dxa"/>
            </w:tcMar>
            <w:vAlign w:val="bottom"/>
            <w:hideMark/>
          </w:tcPr>
          <w:p w14:paraId="53FC6F3D" w14:textId="77777777" w:rsidR="00982E5F" w:rsidRPr="00EA718E" w:rsidRDefault="00000000" w:rsidP="00C479F1">
            <w:pPr>
              <w:spacing w:after="0" w:line="240" w:lineRule="auto"/>
              <w:rPr>
                <w:rFonts w:eastAsia="Times New Roman" w:cstheme="minorHAnsi"/>
                <w:color w:val="000000"/>
                <w:kern w:val="0"/>
                <w:lang w:eastAsia="en-GB"/>
                <w14:ligatures w14:val="none"/>
              </w:rPr>
            </w:pPr>
            <w:hyperlink r:id="rId9" w:history="1">
              <w:r w:rsidR="00982E5F" w:rsidRPr="00EA718E">
                <w:rPr>
                  <w:rFonts w:eastAsia="Times New Roman" w:cstheme="minorHAnsi"/>
                  <w:color w:val="0000FF"/>
                  <w:kern w:val="0"/>
                  <w:u w:val="single"/>
                  <w:lang w:eastAsia="en-GB"/>
                  <w14:ligatures w14:val="none"/>
                </w:rPr>
                <w:t>www.ridgecrestplc.com</w:t>
              </w:r>
            </w:hyperlink>
          </w:p>
        </w:tc>
      </w:tr>
      <w:tr w:rsidR="00982E5F" w:rsidRPr="00EA718E" w14:paraId="65D3C5EF" w14:textId="77777777" w:rsidTr="00C479F1">
        <w:trPr>
          <w:trHeight w:val="300"/>
        </w:trPr>
        <w:tc>
          <w:tcPr>
            <w:tcW w:w="4915" w:type="dxa"/>
            <w:shd w:val="clear" w:color="auto" w:fill="FFFFFF"/>
            <w:tcMar>
              <w:top w:w="0" w:type="dxa"/>
              <w:left w:w="108" w:type="dxa"/>
              <w:bottom w:w="0" w:type="dxa"/>
              <w:right w:w="108" w:type="dxa"/>
            </w:tcMar>
            <w:vAlign w:val="bottom"/>
            <w:hideMark/>
          </w:tcPr>
          <w:p w14:paraId="587C40CC" w14:textId="084117C4" w:rsidR="00982E5F" w:rsidRPr="00EA718E" w:rsidRDefault="00982E5F" w:rsidP="00C479F1">
            <w:pPr>
              <w:spacing w:after="0" w:line="240" w:lineRule="auto"/>
              <w:rPr>
                <w:rFonts w:eastAsia="Times New Roman" w:cstheme="minorHAnsi"/>
                <w:color w:val="000000"/>
                <w:kern w:val="0"/>
                <w:lang w:eastAsia="en-GB"/>
                <w14:ligatures w14:val="none"/>
              </w:rPr>
            </w:pPr>
            <w:r w:rsidRPr="00EA718E">
              <w:rPr>
                <w:rFonts w:eastAsia="Times New Roman" w:cstheme="minorHAnsi"/>
                <w:color w:val="000000"/>
                <w:kern w:val="0"/>
                <w:lang w:eastAsia="en-GB"/>
                <w14:ligatures w14:val="none"/>
              </w:rPr>
              <w:t xml:space="preserve">James Normand, </w:t>
            </w:r>
            <w:r w:rsidR="00212956" w:rsidRPr="00EA718E">
              <w:rPr>
                <w:rFonts w:eastAsia="Times New Roman" w:cstheme="minorHAnsi"/>
                <w:color w:val="000000"/>
                <w:kern w:val="0"/>
                <w:lang w:eastAsia="en-GB"/>
                <w14:ligatures w14:val="none"/>
              </w:rPr>
              <w:t xml:space="preserve">Joint </w:t>
            </w:r>
            <w:r w:rsidRPr="00EA718E">
              <w:rPr>
                <w:rFonts w:eastAsia="Times New Roman" w:cstheme="minorHAnsi"/>
                <w:color w:val="000000"/>
                <w:kern w:val="0"/>
                <w:lang w:eastAsia="en-GB"/>
                <w14:ligatures w14:val="none"/>
              </w:rPr>
              <w:t>Non-Executive Chairman</w:t>
            </w:r>
          </w:p>
          <w:p w14:paraId="31CEB29E" w14:textId="7937155C" w:rsidR="00982E5F" w:rsidRPr="00EA718E" w:rsidRDefault="00982E5F" w:rsidP="00C479F1">
            <w:pPr>
              <w:spacing w:after="0" w:line="240" w:lineRule="auto"/>
              <w:rPr>
                <w:rFonts w:eastAsia="Times New Roman" w:cstheme="minorHAnsi"/>
                <w:color w:val="000000"/>
                <w:kern w:val="0"/>
                <w:lang w:eastAsia="en-GB"/>
                <w14:ligatures w14:val="none"/>
              </w:rPr>
            </w:pPr>
            <w:r w:rsidRPr="00EA718E">
              <w:rPr>
                <w:rFonts w:eastAsia="Times New Roman" w:cstheme="minorHAnsi"/>
                <w:color w:val="000000"/>
                <w:kern w:val="0"/>
                <w:lang w:eastAsia="en-GB"/>
                <w14:ligatures w14:val="none"/>
              </w:rPr>
              <w:t xml:space="preserve">Philip Holt, </w:t>
            </w:r>
            <w:r w:rsidR="00212956" w:rsidRPr="00EA718E">
              <w:rPr>
                <w:rFonts w:eastAsia="Times New Roman" w:cstheme="minorHAnsi"/>
                <w:color w:val="000000"/>
                <w:kern w:val="0"/>
                <w:lang w:eastAsia="en-GB"/>
                <w14:ligatures w14:val="none"/>
              </w:rPr>
              <w:t xml:space="preserve">Joint </w:t>
            </w:r>
            <w:r w:rsidRPr="00EA718E">
              <w:rPr>
                <w:rFonts w:eastAsia="Times New Roman" w:cstheme="minorHAnsi"/>
                <w:color w:val="000000"/>
                <w:kern w:val="0"/>
                <w:lang w:eastAsia="en-GB"/>
                <w14:ligatures w14:val="none"/>
              </w:rPr>
              <w:t>Non-Executive Chairman</w:t>
            </w:r>
          </w:p>
        </w:tc>
        <w:tc>
          <w:tcPr>
            <w:tcW w:w="3725" w:type="dxa"/>
            <w:shd w:val="clear" w:color="auto" w:fill="FFFFFF"/>
            <w:tcMar>
              <w:top w:w="0" w:type="dxa"/>
              <w:left w:w="108" w:type="dxa"/>
              <w:bottom w:w="0" w:type="dxa"/>
              <w:right w:w="108" w:type="dxa"/>
            </w:tcMar>
            <w:vAlign w:val="center"/>
            <w:hideMark/>
          </w:tcPr>
          <w:p w14:paraId="61A72F70" w14:textId="77777777" w:rsidR="00982E5F" w:rsidRPr="00EA718E" w:rsidRDefault="00982E5F" w:rsidP="00C479F1">
            <w:pPr>
              <w:spacing w:after="0" w:line="240" w:lineRule="auto"/>
              <w:rPr>
                <w:rFonts w:eastAsia="Times New Roman" w:cstheme="minorHAnsi"/>
                <w:color w:val="000000"/>
                <w:kern w:val="0"/>
                <w:lang w:eastAsia="en-GB"/>
                <w14:ligatures w14:val="none"/>
              </w:rPr>
            </w:pPr>
            <w:r w:rsidRPr="00EA718E">
              <w:rPr>
                <w:rFonts w:eastAsia="Times New Roman" w:cstheme="minorHAnsi"/>
                <w:color w:val="000000"/>
                <w:kern w:val="0"/>
                <w:u w:val="single"/>
                <w:lang w:eastAsia="en-GB"/>
                <w14:ligatures w14:val="none"/>
              </w:rPr>
              <w:t>(via Allenby Capital Limited)</w:t>
            </w:r>
          </w:p>
        </w:tc>
      </w:tr>
      <w:tr w:rsidR="00982E5F" w:rsidRPr="00EA718E" w14:paraId="7DAEDBA4" w14:textId="77777777" w:rsidTr="00C479F1">
        <w:trPr>
          <w:trHeight w:val="300"/>
        </w:trPr>
        <w:tc>
          <w:tcPr>
            <w:tcW w:w="4915" w:type="dxa"/>
            <w:shd w:val="clear" w:color="auto" w:fill="FFFFFF"/>
            <w:tcMar>
              <w:top w:w="0" w:type="dxa"/>
              <w:left w:w="108" w:type="dxa"/>
              <w:bottom w:w="0" w:type="dxa"/>
              <w:right w:w="108" w:type="dxa"/>
            </w:tcMar>
            <w:vAlign w:val="bottom"/>
            <w:hideMark/>
          </w:tcPr>
          <w:p w14:paraId="085D5165" w14:textId="77777777" w:rsidR="00982E5F" w:rsidRPr="00EA718E" w:rsidRDefault="00982E5F" w:rsidP="00C479F1">
            <w:pPr>
              <w:spacing w:after="0" w:line="240" w:lineRule="auto"/>
              <w:rPr>
                <w:rFonts w:eastAsia="Times New Roman" w:cstheme="minorHAnsi"/>
                <w:color w:val="000000"/>
                <w:kern w:val="0"/>
                <w:lang w:eastAsia="en-GB"/>
                <w14:ligatures w14:val="none"/>
              </w:rPr>
            </w:pPr>
          </w:p>
        </w:tc>
        <w:tc>
          <w:tcPr>
            <w:tcW w:w="3725" w:type="dxa"/>
            <w:shd w:val="clear" w:color="auto" w:fill="FFFFFF"/>
            <w:tcMar>
              <w:top w:w="0" w:type="dxa"/>
              <w:left w:w="108" w:type="dxa"/>
              <w:bottom w:w="0" w:type="dxa"/>
              <w:right w:w="108" w:type="dxa"/>
            </w:tcMar>
            <w:vAlign w:val="bottom"/>
            <w:hideMark/>
          </w:tcPr>
          <w:p w14:paraId="7F0854EC" w14:textId="77777777" w:rsidR="00982E5F" w:rsidRPr="00EA718E" w:rsidRDefault="00982E5F" w:rsidP="00C479F1">
            <w:pPr>
              <w:spacing w:after="0" w:line="240" w:lineRule="auto"/>
              <w:rPr>
                <w:rFonts w:eastAsia="Times New Roman" w:cstheme="minorHAnsi"/>
                <w:color w:val="000000"/>
                <w:kern w:val="0"/>
                <w:lang w:eastAsia="en-GB"/>
                <w14:ligatures w14:val="none"/>
              </w:rPr>
            </w:pPr>
          </w:p>
        </w:tc>
      </w:tr>
      <w:tr w:rsidR="00982E5F" w:rsidRPr="00EA718E" w14:paraId="3D2A1E04" w14:textId="77777777" w:rsidTr="00C479F1">
        <w:trPr>
          <w:trHeight w:val="300"/>
        </w:trPr>
        <w:tc>
          <w:tcPr>
            <w:tcW w:w="4915" w:type="dxa"/>
            <w:shd w:val="clear" w:color="auto" w:fill="FFFFFF"/>
            <w:tcMar>
              <w:top w:w="0" w:type="dxa"/>
              <w:left w:w="108" w:type="dxa"/>
              <w:bottom w:w="0" w:type="dxa"/>
              <w:right w:w="108" w:type="dxa"/>
            </w:tcMar>
            <w:vAlign w:val="bottom"/>
            <w:hideMark/>
          </w:tcPr>
          <w:p w14:paraId="382D10CC" w14:textId="77777777" w:rsidR="00982E5F" w:rsidRPr="00EA718E" w:rsidRDefault="00982E5F" w:rsidP="00C479F1">
            <w:pPr>
              <w:spacing w:after="0" w:line="240" w:lineRule="auto"/>
              <w:rPr>
                <w:rFonts w:eastAsia="Times New Roman" w:cstheme="minorHAnsi"/>
                <w:color w:val="000000"/>
                <w:kern w:val="0"/>
                <w:lang w:eastAsia="en-GB"/>
                <w14:ligatures w14:val="none"/>
              </w:rPr>
            </w:pPr>
            <w:r w:rsidRPr="00EA718E">
              <w:rPr>
                <w:rFonts w:eastAsia="Times New Roman" w:cstheme="minorHAnsi"/>
                <w:b/>
                <w:bCs/>
                <w:color w:val="000000"/>
                <w:kern w:val="0"/>
                <w:lang w:eastAsia="en-GB"/>
                <w14:ligatures w14:val="none"/>
              </w:rPr>
              <w:t>Allenby Capital Limited </w:t>
            </w:r>
            <w:r w:rsidRPr="00EA718E">
              <w:rPr>
                <w:rFonts w:eastAsia="Times New Roman" w:cstheme="minorHAnsi"/>
                <w:color w:val="000000"/>
                <w:kern w:val="0"/>
                <w:lang w:eastAsia="en-GB"/>
                <w14:ligatures w14:val="none"/>
              </w:rPr>
              <w:t>(Financial Adviser)</w:t>
            </w:r>
          </w:p>
        </w:tc>
        <w:tc>
          <w:tcPr>
            <w:tcW w:w="3725" w:type="dxa"/>
            <w:shd w:val="clear" w:color="auto" w:fill="FFFFFF"/>
            <w:tcMar>
              <w:top w:w="0" w:type="dxa"/>
              <w:left w:w="108" w:type="dxa"/>
              <w:bottom w:w="0" w:type="dxa"/>
              <w:right w:w="108" w:type="dxa"/>
            </w:tcMar>
            <w:vAlign w:val="bottom"/>
            <w:hideMark/>
          </w:tcPr>
          <w:p w14:paraId="33EA4371" w14:textId="77777777" w:rsidR="00982E5F" w:rsidRPr="00EA718E" w:rsidRDefault="00000000" w:rsidP="00C479F1">
            <w:pPr>
              <w:spacing w:after="0" w:line="240" w:lineRule="auto"/>
              <w:rPr>
                <w:rFonts w:eastAsia="Times New Roman" w:cstheme="minorHAnsi"/>
                <w:color w:val="000000"/>
                <w:kern w:val="0"/>
                <w:lang w:eastAsia="en-GB"/>
                <w14:ligatures w14:val="none"/>
              </w:rPr>
            </w:pPr>
            <w:hyperlink r:id="rId10" w:history="1">
              <w:r w:rsidR="00982E5F" w:rsidRPr="00EA718E">
                <w:rPr>
                  <w:rFonts w:eastAsia="Times New Roman" w:cstheme="minorHAnsi"/>
                  <w:color w:val="0000FF"/>
                  <w:kern w:val="0"/>
                  <w:u w:val="single"/>
                  <w:lang w:eastAsia="en-GB"/>
                  <w14:ligatures w14:val="none"/>
                </w:rPr>
                <w:t>www.allenbycapital.com</w:t>
              </w:r>
            </w:hyperlink>
          </w:p>
        </w:tc>
      </w:tr>
      <w:tr w:rsidR="00982E5F" w:rsidRPr="00EA718E" w14:paraId="176225FD" w14:textId="77777777" w:rsidTr="00C479F1">
        <w:trPr>
          <w:trHeight w:val="300"/>
        </w:trPr>
        <w:tc>
          <w:tcPr>
            <w:tcW w:w="4915" w:type="dxa"/>
            <w:shd w:val="clear" w:color="auto" w:fill="FFFFFF"/>
            <w:tcMar>
              <w:top w:w="0" w:type="dxa"/>
              <w:left w:w="108" w:type="dxa"/>
              <w:bottom w:w="0" w:type="dxa"/>
              <w:right w:w="108" w:type="dxa"/>
            </w:tcMar>
            <w:vAlign w:val="bottom"/>
            <w:hideMark/>
          </w:tcPr>
          <w:p w14:paraId="13CE62BC" w14:textId="77777777" w:rsidR="00982E5F" w:rsidRPr="00EA718E" w:rsidRDefault="00982E5F" w:rsidP="00C479F1">
            <w:pPr>
              <w:spacing w:after="0" w:line="240" w:lineRule="auto"/>
              <w:rPr>
                <w:rFonts w:eastAsia="Times New Roman" w:cstheme="minorHAnsi"/>
                <w:color w:val="000000"/>
                <w:kern w:val="0"/>
                <w:lang w:eastAsia="en-GB"/>
                <w14:ligatures w14:val="none"/>
              </w:rPr>
            </w:pPr>
            <w:r w:rsidRPr="00EA718E">
              <w:rPr>
                <w:rFonts w:eastAsia="Times New Roman" w:cstheme="minorHAnsi"/>
                <w:color w:val="000000"/>
                <w:kern w:val="0"/>
                <w:lang w:eastAsia="en-GB"/>
                <w14:ligatures w14:val="none"/>
              </w:rPr>
              <w:t>Nick Naylor / Liz Kirchner</w:t>
            </w:r>
          </w:p>
        </w:tc>
        <w:tc>
          <w:tcPr>
            <w:tcW w:w="3725" w:type="dxa"/>
            <w:shd w:val="clear" w:color="auto" w:fill="FFFFFF"/>
            <w:tcMar>
              <w:top w:w="0" w:type="dxa"/>
              <w:left w:w="108" w:type="dxa"/>
              <w:bottom w:w="0" w:type="dxa"/>
              <w:right w:w="108" w:type="dxa"/>
            </w:tcMar>
            <w:vAlign w:val="bottom"/>
            <w:hideMark/>
          </w:tcPr>
          <w:p w14:paraId="6FAE939F" w14:textId="77777777" w:rsidR="00982E5F" w:rsidRPr="00EA718E" w:rsidRDefault="00982E5F" w:rsidP="00C479F1">
            <w:pPr>
              <w:spacing w:after="0" w:line="240" w:lineRule="auto"/>
              <w:rPr>
                <w:rFonts w:eastAsia="Times New Roman" w:cstheme="minorHAnsi"/>
                <w:color w:val="000000"/>
                <w:kern w:val="0"/>
                <w:lang w:eastAsia="en-GB"/>
                <w14:ligatures w14:val="none"/>
              </w:rPr>
            </w:pPr>
            <w:r w:rsidRPr="00EA718E">
              <w:rPr>
                <w:rFonts w:eastAsia="Times New Roman" w:cstheme="minorHAnsi"/>
                <w:color w:val="000000"/>
                <w:kern w:val="0"/>
                <w:lang w:eastAsia="en-GB"/>
                <w14:ligatures w14:val="none"/>
              </w:rPr>
              <w:t>020 3328 5656</w:t>
            </w:r>
          </w:p>
        </w:tc>
      </w:tr>
    </w:tbl>
    <w:p w14:paraId="2B580BB1" w14:textId="77777777" w:rsidR="00982E5F" w:rsidRPr="00EA718E" w:rsidRDefault="00982E5F" w:rsidP="00982E5F">
      <w:pPr>
        <w:pStyle w:val="aa"/>
        <w:shd w:val="clear" w:color="auto" w:fill="FFFFFF"/>
        <w:spacing w:before="0" w:beforeAutospacing="0" w:after="0" w:afterAutospacing="0"/>
        <w:jc w:val="both"/>
        <w:rPr>
          <w:rFonts w:asciiTheme="minorHAnsi" w:hAnsiTheme="minorHAnsi" w:cstheme="minorHAnsi"/>
          <w:color w:val="000000"/>
          <w:sz w:val="22"/>
          <w:szCs w:val="22"/>
        </w:rPr>
      </w:pPr>
    </w:p>
    <w:p w14:paraId="26F12E21" w14:textId="77777777" w:rsidR="00982E5F" w:rsidRDefault="00982E5F" w:rsidP="00457CA9">
      <w:pPr>
        <w:pStyle w:val="aa"/>
        <w:shd w:val="clear" w:color="auto" w:fill="FFFFFF"/>
        <w:spacing w:before="0" w:beforeAutospacing="0" w:after="0" w:afterAutospacing="0"/>
        <w:jc w:val="both"/>
        <w:rPr>
          <w:rFonts w:asciiTheme="minorHAnsi" w:hAnsiTheme="minorHAnsi" w:cstheme="minorHAnsi"/>
          <w:color w:val="231F20"/>
          <w:sz w:val="22"/>
          <w:szCs w:val="22"/>
        </w:rPr>
      </w:pPr>
    </w:p>
    <w:p w14:paraId="1765A2F4" w14:textId="0E1FD8C4" w:rsidR="00982E5F" w:rsidRPr="00473D25" w:rsidRDefault="00212956" w:rsidP="00457CA9">
      <w:pPr>
        <w:pStyle w:val="aa"/>
        <w:shd w:val="clear" w:color="auto" w:fill="FFFFFF"/>
        <w:spacing w:before="0" w:beforeAutospacing="0" w:after="0" w:afterAutospacing="0"/>
        <w:jc w:val="both"/>
        <w:rPr>
          <w:rFonts w:asciiTheme="minorHAnsi" w:hAnsiTheme="minorHAnsi" w:cstheme="minorHAnsi"/>
          <w:b/>
          <w:bCs/>
          <w:color w:val="231F20"/>
          <w:sz w:val="22"/>
          <w:szCs w:val="22"/>
        </w:rPr>
      </w:pPr>
      <w:r w:rsidRPr="00473D25">
        <w:rPr>
          <w:rFonts w:asciiTheme="minorHAnsi" w:hAnsiTheme="minorHAnsi" w:cstheme="minorHAnsi"/>
          <w:b/>
          <w:bCs/>
          <w:color w:val="231F20"/>
          <w:sz w:val="22"/>
          <w:szCs w:val="22"/>
        </w:rPr>
        <w:t>Extract from the joint Non-Executive Chairmen’s letter contained in the Circular</w:t>
      </w:r>
    </w:p>
    <w:p w14:paraId="658F8878" w14:textId="77777777" w:rsidR="00AE3E05" w:rsidRDefault="00AE3E05" w:rsidP="00457CA9">
      <w:pPr>
        <w:pStyle w:val="aa"/>
        <w:shd w:val="clear" w:color="auto" w:fill="FFFFFF"/>
        <w:spacing w:before="0" w:beforeAutospacing="0" w:after="0" w:afterAutospacing="0"/>
        <w:jc w:val="both"/>
        <w:rPr>
          <w:rFonts w:asciiTheme="minorHAnsi" w:hAnsiTheme="minorHAnsi" w:cstheme="minorHAnsi"/>
          <w:color w:val="231F20"/>
          <w:sz w:val="22"/>
          <w:szCs w:val="22"/>
        </w:rPr>
      </w:pPr>
    </w:p>
    <w:p w14:paraId="22547A96" w14:textId="77777777" w:rsidR="00F432B2" w:rsidRPr="00473D25" w:rsidRDefault="00F432B2" w:rsidP="00F432B2">
      <w:pPr>
        <w:pStyle w:val="Heading2"/>
        <w:ind w:left="1120" w:right="1115"/>
        <w:jc w:val="center"/>
        <w:rPr>
          <w:rFonts w:asciiTheme="minorHAnsi" w:hAnsiTheme="minorHAnsi" w:cstheme="minorHAnsi"/>
          <w:color w:val="231F20"/>
          <w:sz w:val="22"/>
          <w:szCs w:val="22"/>
        </w:rPr>
      </w:pPr>
      <w:r w:rsidRPr="00473D25">
        <w:rPr>
          <w:rFonts w:asciiTheme="minorHAnsi" w:hAnsiTheme="minorHAnsi" w:cstheme="minorHAnsi"/>
          <w:color w:val="231F20"/>
          <w:sz w:val="22"/>
          <w:szCs w:val="22"/>
        </w:rPr>
        <w:t xml:space="preserve">Proposed new strategy </w:t>
      </w:r>
    </w:p>
    <w:p w14:paraId="1DEF9D6B" w14:textId="77777777" w:rsidR="00F432B2" w:rsidRPr="00473D25" w:rsidRDefault="00F432B2" w:rsidP="00F432B2">
      <w:pPr>
        <w:pStyle w:val="Heading2"/>
        <w:ind w:left="1120" w:right="1115"/>
        <w:jc w:val="center"/>
        <w:rPr>
          <w:rFonts w:asciiTheme="minorHAnsi" w:hAnsiTheme="minorHAnsi" w:cstheme="minorHAnsi"/>
          <w:color w:val="231F20"/>
          <w:sz w:val="22"/>
          <w:szCs w:val="22"/>
        </w:rPr>
      </w:pPr>
      <w:r w:rsidRPr="00473D25">
        <w:rPr>
          <w:rFonts w:asciiTheme="minorHAnsi" w:hAnsiTheme="minorHAnsi" w:cstheme="minorHAnsi"/>
          <w:color w:val="231F20"/>
          <w:sz w:val="22"/>
          <w:szCs w:val="22"/>
        </w:rPr>
        <w:t>and</w:t>
      </w:r>
    </w:p>
    <w:p w14:paraId="0C76CBF2" w14:textId="77777777" w:rsidR="00F432B2" w:rsidRPr="00473D25" w:rsidRDefault="00F432B2" w:rsidP="00F432B2">
      <w:pPr>
        <w:pStyle w:val="Heading2"/>
        <w:ind w:left="1120" w:right="1115"/>
        <w:jc w:val="center"/>
        <w:rPr>
          <w:rFonts w:asciiTheme="minorHAnsi" w:hAnsiTheme="minorHAnsi" w:cstheme="minorHAnsi"/>
          <w:color w:val="231F20"/>
          <w:sz w:val="22"/>
          <w:szCs w:val="22"/>
        </w:rPr>
      </w:pPr>
      <w:r w:rsidRPr="00473D25">
        <w:rPr>
          <w:rFonts w:asciiTheme="minorHAnsi" w:hAnsiTheme="minorHAnsi" w:cstheme="minorHAnsi"/>
          <w:color w:val="231F20"/>
          <w:sz w:val="22"/>
          <w:szCs w:val="22"/>
        </w:rPr>
        <w:t>proposed appointment of new directors</w:t>
      </w:r>
    </w:p>
    <w:p w14:paraId="447AADA0" w14:textId="77777777" w:rsidR="00F432B2" w:rsidRPr="00473D25" w:rsidRDefault="00F432B2" w:rsidP="00F432B2">
      <w:pPr>
        <w:pStyle w:val="BodyText"/>
        <w:spacing w:before="87"/>
        <w:rPr>
          <w:rFonts w:asciiTheme="minorHAnsi" w:hAnsiTheme="minorHAnsi" w:cstheme="minorHAnsi"/>
          <w:b/>
          <w:sz w:val="22"/>
          <w:szCs w:val="22"/>
        </w:rPr>
      </w:pPr>
    </w:p>
    <w:p w14:paraId="5543302E" w14:textId="59996028" w:rsidR="00F432B2" w:rsidRPr="00473D25" w:rsidRDefault="00F432B2" w:rsidP="00F4162D">
      <w:pPr>
        <w:spacing w:before="1" w:line="249" w:lineRule="auto"/>
        <w:ind w:left="395" w:right="387"/>
        <w:jc w:val="both"/>
        <w:rPr>
          <w:rFonts w:cstheme="minorHAnsi"/>
          <w:color w:val="231F20"/>
        </w:rPr>
      </w:pPr>
      <w:r w:rsidRPr="00473D25">
        <w:rPr>
          <w:rFonts w:cstheme="minorHAnsi"/>
          <w:color w:val="231F20"/>
        </w:rPr>
        <w:t>On 8 March 2024, the Company announced that it had decided to pause its proposed acquisition of Galápagos Cable Systems GACASYS SA ("</w:t>
      </w:r>
      <w:r w:rsidRPr="00473D25">
        <w:rPr>
          <w:rFonts w:cstheme="minorHAnsi"/>
          <w:b/>
          <w:bCs/>
          <w:color w:val="231F20"/>
        </w:rPr>
        <w:t>GCS</w:t>
      </w:r>
      <w:r w:rsidRPr="00473D25">
        <w:rPr>
          <w:rFonts w:cstheme="minorHAnsi"/>
          <w:color w:val="231F20"/>
        </w:rPr>
        <w:t>") by way of a reverse takeover and a listing/quotation of the enlarged entity’s shares on a market operated by London Stock Exchange PLC, due to increasing political and security instability in Ecuador. The announcement also noted that one of the principals of GCS had, through a company formed for the purpose ("</w:t>
      </w:r>
      <w:r w:rsidRPr="00473D25">
        <w:rPr>
          <w:rFonts w:cstheme="minorHAnsi"/>
          <w:b/>
          <w:bCs/>
          <w:color w:val="231F20"/>
        </w:rPr>
        <w:t>Newco</w:t>
      </w:r>
      <w:r w:rsidRPr="00473D25">
        <w:rPr>
          <w:rFonts w:cstheme="minorHAnsi"/>
          <w:color w:val="231F20"/>
        </w:rPr>
        <w:t>"), revitalised his pre-existing contact with Fast2Fibre Limited ("</w:t>
      </w:r>
      <w:r w:rsidRPr="00473D25">
        <w:rPr>
          <w:rFonts w:cstheme="minorHAnsi"/>
          <w:b/>
          <w:bCs/>
          <w:color w:val="231F20"/>
        </w:rPr>
        <w:t>F2F</w:t>
      </w:r>
      <w:r w:rsidRPr="00473D25">
        <w:rPr>
          <w:rFonts w:cstheme="minorHAnsi"/>
          <w:color w:val="231F20"/>
        </w:rPr>
        <w:t>"), in which, shareholders will recall, Ridgecrest has a material interest in the form of two convertible loan notes, totalling £550,000, issued to Sparkledun Limited ("</w:t>
      </w:r>
      <w:r w:rsidRPr="00473D25">
        <w:rPr>
          <w:rFonts w:cstheme="minorHAnsi"/>
          <w:b/>
          <w:bCs/>
          <w:color w:val="231F20"/>
        </w:rPr>
        <w:t>Sparkledun</w:t>
      </w:r>
      <w:r w:rsidRPr="00473D25">
        <w:rPr>
          <w:rFonts w:cstheme="minorHAnsi"/>
          <w:color w:val="231F20"/>
        </w:rPr>
        <w:t>"), F2F's holding company.  Shareholders should note that, in order to comply with prudent accounting principles, the value of these convertible loan notes was written down to zero in the Company’s audited accounts for the year ended 31 March 2023.</w:t>
      </w:r>
    </w:p>
    <w:p w14:paraId="3EE3042B" w14:textId="24E3D55A" w:rsidR="00F432B2" w:rsidRPr="00473D25" w:rsidRDefault="00F432B2" w:rsidP="00F4162D">
      <w:pPr>
        <w:spacing w:before="1" w:line="249" w:lineRule="auto"/>
        <w:ind w:left="395" w:right="387"/>
        <w:jc w:val="both"/>
        <w:rPr>
          <w:rFonts w:cstheme="minorHAnsi"/>
          <w:color w:val="231F20"/>
        </w:rPr>
      </w:pPr>
      <w:r w:rsidRPr="00473D25">
        <w:rPr>
          <w:rFonts w:cstheme="minorHAnsi"/>
          <w:color w:val="231F20"/>
        </w:rPr>
        <w:t xml:space="preserve">The Board has been advised that Newco has contracted with a major telecommunications carrier to extract copper from underground cables in Brazil and replace it with fibre using F2F's technology, for which F2F will receive a royalty based upon the amount of copper extracted.  This contract, which is anticipated to commence in the second quarter of this year, is expected by Newco to provide significant income for F2F and thus to restore value to </w:t>
      </w:r>
      <w:r w:rsidRPr="00473D25">
        <w:rPr>
          <w:rFonts w:cstheme="minorHAnsi"/>
          <w:color w:val="231F20"/>
        </w:rPr>
        <w:lastRenderedPageBreak/>
        <w:t>Ridgecrest's convertible loan notes and, in due course, the possibility of reverting to the Company's previous plan to reverse Sparkledun and F2F into Ridgecrest.</w:t>
      </w:r>
    </w:p>
    <w:p w14:paraId="417845F1" w14:textId="599C5F17" w:rsidR="00F432B2" w:rsidRPr="00473D25" w:rsidRDefault="00F432B2" w:rsidP="00F4162D">
      <w:pPr>
        <w:spacing w:before="1" w:line="249" w:lineRule="auto"/>
        <w:ind w:left="395" w:right="387"/>
        <w:jc w:val="both"/>
        <w:rPr>
          <w:rFonts w:cstheme="minorHAnsi"/>
          <w:color w:val="231F20"/>
        </w:rPr>
      </w:pPr>
      <w:r w:rsidRPr="00473D25">
        <w:rPr>
          <w:rFonts w:cstheme="minorHAnsi"/>
          <w:color w:val="231F20"/>
        </w:rPr>
        <w:t>Separately, your Board has been approached by a private shareholder, Marco Schezzini, who has informed us that he represents a number of shareholders collectively holding a substantial minority of the Company’s issued share capital (the "</w:t>
      </w:r>
      <w:r w:rsidRPr="00473D25">
        <w:rPr>
          <w:rFonts w:cstheme="minorHAnsi"/>
          <w:b/>
          <w:bCs/>
          <w:color w:val="231F20"/>
        </w:rPr>
        <w:t>Schezzini Shareholder Group</w:t>
      </w:r>
      <w:r w:rsidRPr="00473D25">
        <w:rPr>
          <w:rFonts w:cstheme="minorHAnsi"/>
          <w:color w:val="231F20"/>
        </w:rPr>
        <w:t>"). The Schezzini Shareholder Group has indicated that it does not wish the Company to continue to explore a reverse takeover of Sparkledun/F2F, GCS or indeed, of any other company. It instead wishes the Company to appoint two new directors and then to find a route to providing liquidity to all shareholders without the delay, risks and cost inherent in a reverse takeover. Its proposal would involve the Company investing its remaining free cash in a company with an existing UK stock market quotation, on terms to be negotiated. The Board understands that the Schezzini Shareholder Group has identified a number of suitable quoted companies but that no approach has been made to any company nor terms agreed.</w:t>
      </w:r>
    </w:p>
    <w:p w14:paraId="6B6AD2F7" w14:textId="4F77DF43" w:rsidR="00F432B2" w:rsidRPr="00473D25" w:rsidRDefault="00F432B2" w:rsidP="00212956">
      <w:pPr>
        <w:spacing w:before="1" w:line="249" w:lineRule="auto"/>
        <w:ind w:left="395" w:right="387"/>
        <w:jc w:val="both"/>
        <w:rPr>
          <w:rFonts w:cstheme="minorHAnsi"/>
          <w:color w:val="231F20"/>
        </w:rPr>
      </w:pPr>
      <w:r w:rsidRPr="00473D25">
        <w:rPr>
          <w:rFonts w:cstheme="minorHAnsi"/>
          <w:color w:val="231F20"/>
        </w:rPr>
        <w:t xml:space="preserve">The proposed new directors, details of whom are set out below, are considering a shortlist of potential investments in the micro-cap sphere. The proposed directors have indicated that they are mindful of the importance of monitoring actual or perceived conflicts of interest and, in the event of such a situation arising, the relevant proposed director would recuse himself from relevant decision making and otherwise fully observe the relevant provisions of the Company’s articles of association.    </w:t>
      </w:r>
    </w:p>
    <w:p w14:paraId="4B015835" w14:textId="17BCC396" w:rsidR="00F432B2" w:rsidRPr="00473D25" w:rsidRDefault="00F432B2" w:rsidP="00F4162D">
      <w:pPr>
        <w:spacing w:before="1" w:line="249" w:lineRule="auto"/>
        <w:ind w:left="395" w:right="387"/>
        <w:jc w:val="both"/>
        <w:rPr>
          <w:rFonts w:cstheme="minorHAnsi"/>
          <w:color w:val="231F20"/>
        </w:rPr>
      </w:pPr>
      <w:r w:rsidRPr="00473D25">
        <w:rPr>
          <w:rFonts w:cstheme="minorHAnsi"/>
          <w:color w:val="231F20"/>
        </w:rPr>
        <w:t>The Schezzini Shareholder Group would then seek to have the Company wind-down its affairs and place itself into a members’ voluntary liquidation (an ”</w:t>
      </w:r>
      <w:r w:rsidRPr="00473D25">
        <w:rPr>
          <w:rFonts w:cstheme="minorHAnsi"/>
          <w:b/>
          <w:bCs/>
          <w:color w:val="231F20"/>
        </w:rPr>
        <w:t>MVL</w:t>
      </w:r>
      <w:r w:rsidRPr="00473D25">
        <w:rPr>
          <w:rFonts w:cstheme="minorHAnsi"/>
          <w:color w:val="231F20"/>
        </w:rPr>
        <w:t xml:space="preserve">”). A liquidator would be appointed by a special resolution of the members obtained in general meeting and would seek to generate value from the Company’s assets, at this time comprising just its convertible loan notes held in Sparkledun and residual net cash balances.  Once all the liabilities of the Company had been satisfied, the liquidator would make a solvent distribution of assets and any residual cash, so that all shareholders in the Company would receive their pro rata share of the Company’s investment in any listed business. This pro-rata distribution would necessarily be contingent on there being a sufficient number of shares in the investee company to distribute to Ridgecrest shareholders, comprising approximately 490 registered holders of which a number are nominees representing many more underlying beneficial holders.  </w:t>
      </w:r>
    </w:p>
    <w:p w14:paraId="13F3E84E" w14:textId="364CCA70" w:rsidR="00F432B2" w:rsidRPr="00473D25" w:rsidRDefault="00F432B2" w:rsidP="00F4162D">
      <w:pPr>
        <w:spacing w:before="1" w:line="249" w:lineRule="auto"/>
        <w:ind w:left="395" w:right="387"/>
        <w:jc w:val="both"/>
        <w:rPr>
          <w:rFonts w:cstheme="minorHAnsi"/>
          <w:color w:val="231F20"/>
        </w:rPr>
      </w:pPr>
      <w:r w:rsidRPr="00473D25">
        <w:rPr>
          <w:rFonts w:cstheme="minorHAnsi"/>
          <w:color w:val="231F20"/>
        </w:rPr>
        <w:t>Shareholders are reminded that the value of any investment may go down as well as up and there can be no guarantee that an interest in any investee business would be readily capable of being realised nor return any value. Shareholders should also note that there can be no guarantee that the Company will be able to undertake an MVL, nor that there will be material assets to be distributed to shareholders and that the Schezzini Shareholder Group has not suggested a timetable for the conclusion of (nor the costs likely to be associated with) any MVL process.</w:t>
      </w:r>
    </w:p>
    <w:p w14:paraId="675D9267" w14:textId="2DBBE308" w:rsidR="00F432B2" w:rsidRPr="00473D25" w:rsidRDefault="00F432B2" w:rsidP="00F4162D">
      <w:pPr>
        <w:spacing w:before="1" w:line="249" w:lineRule="auto"/>
        <w:ind w:left="395" w:right="387"/>
        <w:jc w:val="both"/>
        <w:rPr>
          <w:rFonts w:cstheme="minorHAnsi"/>
          <w:color w:val="231F20"/>
        </w:rPr>
      </w:pPr>
      <w:r w:rsidRPr="00473D25">
        <w:rPr>
          <w:rFonts w:cstheme="minorHAnsi"/>
          <w:b/>
          <w:bCs/>
          <w:color w:val="231F20"/>
        </w:rPr>
        <w:t>The Board does not believe the proposed plan by the Schezzini Shareholder Group to be in the best interests of shareholders as a whole but, having regard to their statutory and fiduciary duties, respects the wishes of shareholders to determine the future direction and strategy of their Company.</w:t>
      </w:r>
      <w:r w:rsidRPr="00473D25">
        <w:rPr>
          <w:rFonts w:cstheme="minorHAnsi"/>
          <w:color w:val="231F20"/>
        </w:rPr>
        <w:t xml:space="preserve"> </w:t>
      </w:r>
    </w:p>
    <w:p w14:paraId="5731E612" w14:textId="03AFCDA7" w:rsidR="00F432B2" w:rsidRPr="00473D25" w:rsidRDefault="00F432B2" w:rsidP="00F4162D">
      <w:pPr>
        <w:spacing w:before="1" w:line="249" w:lineRule="auto"/>
        <w:ind w:left="395" w:right="387"/>
        <w:jc w:val="both"/>
        <w:rPr>
          <w:rFonts w:cstheme="minorHAnsi"/>
          <w:color w:val="231F20"/>
        </w:rPr>
      </w:pPr>
      <w:r w:rsidRPr="00473D25">
        <w:rPr>
          <w:rFonts w:cstheme="minorHAnsi"/>
          <w:color w:val="231F20"/>
        </w:rPr>
        <w:t>The Board does not believe the Schezzini Shareholder Group’s proposals to be in the best interests of shareholders for (among others) the following reasons:</w:t>
      </w:r>
    </w:p>
    <w:p w14:paraId="3054338E" w14:textId="77777777" w:rsidR="00F432B2" w:rsidRPr="00473D25" w:rsidRDefault="00F432B2" w:rsidP="00F432B2">
      <w:pPr>
        <w:pStyle w:val="ListParagraph"/>
        <w:numPr>
          <w:ilvl w:val="0"/>
          <w:numId w:val="2"/>
        </w:numPr>
        <w:spacing w:before="1" w:line="249" w:lineRule="auto"/>
        <w:ind w:right="387"/>
        <w:rPr>
          <w:rFonts w:asciiTheme="minorHAnsi" w:hAnsiTheme="minorHAnsi" w:cstheme="minorHAnsi"/>
          <w:color w:val="231F20"/>
        </w:rPr>
      </w:pPr>
      <w:r w:rsidRPr="00473D25">
        <w:rPr>
          <w:rFonts w:asciiTheme="minorHAnsi" w:hAnsiTheme="minorHAnsi" w:cstheme="minorHAnsi"/>
          <w:color w:val="231F20"/>
        </w:rPr>
        <w:t xml:space="preserve">after a long period of frustration with the Company’s investment in F2F (via its convertible loan notes held in Sparkledun), F2F is now, via Newco’s activities in Brazil, apparently on </w:t>
      </w:r>
      <w:r w:rsidRPr="00473D25">
        <w:rPr>
          <w:rFonts w:asciiTheme="minorHAnsi" w:hAnsiTheme="minorHAnsi" w:cstheme="minorHAnsi"/>
          <w:color w:val="231F20"/>
        </w:rPr>
        <w:lastRenderedPageBreak/>
        <w:t xml:space="preserve">the verge of generating revenues and so, in the opinion of the Board, now is not the time to dispose of the Company’s investment in F2F, the valuation of which could well be lower if arrived at in the context of an MVL; </w:t>
      </w:r>
    </w:p>
    <w:p w14:paraId="294AA175" w14:textId="77777777" w:rsidR="00F432B2" w:rsidRPr="00473D25" w:rsidRDefault="00F432B2" w:rsidP="00F432B2">
      <w:pPr>
        <w:pStyle w:val="ListParagraph"/>
        <w:spacing w:before="1" w:line="249" w:lineRule="auto"/>
        <w:ind w:left="755" w:right="387" w:firstLine="0"/>
        <w:rPr>
          <w:rFonts w:asciiTheme="minorHAnsi" w:hAnsiTheme="minorHAnsi" w:cstheme="minorHAnsi"/>
          <w:color w:val="231F20"/>
        </w:rPr>
      </w:pPr>
    </w:p>
    <w:p w14:paraId="2F20DB4C" w14:textId="77777777" w:rsidR="00F432B2" w:rsidRPr="00473D25" w:rsidRDefault="00F432B2" w:rsidP="00F432B2">
      <w:pPr>
        <w:pStyle w:val="ListParagraph"/>
        <w:numPr>
          <w:ilvl w:val="0"/>
          <w:numId w:val="2"/>
        </w:numPr>
        <w:spacing w:before="1" w:line="249" w:lineRule="auto"/>
        <w:ind w:right="387"/>
        <w:rPr>
          <w:rFonts w:asciiTheme="minorHAnsi" w:hAnsiTheme="minorHAnsi" w:cstheme="minorHAnsi"/>
          <w:color w:val="231F20"/>
        </w:rPr>
      </w:pPr>
      <w:r w:rsidRPr="00473D25">
        <w:rPr>
          <w:rFonts w:asciiTheme="minorHAnsi" w:hAnsiTheme="minorHAnsi" w:cstheme="minorHAnsi"/>
          <w:color w:val="231F20"/>
        </w:rPr>
        <w:t xml:space="preserve">there can be no certainty that the Company will be able to complete an investment in a listed/quoted company on acceptable terms or that subsequently, any liquidator would be able to distribute those shares to all underlying shareholders nor, should such a distribution be possible, that they would then each have the ability to realise any value from the shares they would receive in any investee company; </w:t>
      </w:r>
    </w:p>
    <w:p w14:paraId="1A89CBA0" w14:textId="77777777" w:rsidR="00F432B2" w:rsidRPr="00473D25" w:rsidRDefault="00F432B2" w:rsidP="00F432B2">
      <w:pPr>
        <w:pStyle w:val="ListParagraph"/>
        <w:spacing w:before="1" w:line="249" w:lineRule="auto"/>
        <w:ind w:left="755" w:right="387" w:firstLine="0"/>
        <w:rPr>
          <w:rFonts w:asciiTheme="minorHAnsi" w:hAnsiTheme="minorHAnsi" w:cstheme="minorHAnsi"/>
          <w:color w:val="231F20"/>
        </w:rPr>
      </w:pPr>
    </w:p>
    <w:p w14:paraId="33558ADF" w14:textId="77777777" w:rsidR="00F432B2" w:rsidRPr="00473D25" w:rsidRDefault="00F432B2" w:rsidP="00F432B2">
      <w:pPr>
        <w:pStyle w:val="ListParagraph"/>
        <w:numPr>
          <w:ilvl w:val="0"/>
          <w:numId w:val="2"/>
        </w:numPr>
        <w:spacing w:before="1" w:line="249" w:lineRule="auto"/>
        <w:ind w:right="387"/>
        <w:rPr>
          <w:rFonts w:asciiTheme="minorHAnsi" w:hAnsiTheme="minorHAnsi" w:cstheme="minorHAnsi"/>
          <w:color w:val="231F20"/>
        </w:rPr>
      </w:pPr>
      <w:r w:rsidRPr="00473D25">
        <w:rPr>
          <w:rFonts w:asciiTheme="minorHAnsi" w:hAnsiTheme="minorHAnsi" w:cstheme="minorHAnsi"/>
          <w:color w:val="231F20"/>
        </w:rPr>
        <w:t>the direct costs associated with undertaking an MVL, notice periods and payments due to the Company‘s advisers pursuant to the termination of agreements and the expense of maintaining the Company during this process would in all likelihood absorb a significant part of the Company’s current cash resources (which currently stand at £570,000); and</w:t>
      </w:r>
    </w:p>
    <w:p w14:paraId="73BD6D5E" w14:textId="77777777" w:rsidR="00F432B2" w:rsidRPr="00473D25" w:rsidRDefault="00F432B2" w:rsidP="00F432B2">
      <w:pPr>
        <w:pStyle w:val="ListParagraph"/>
        <w:spacing w:before="1" w:line="249" w:lineRule="auto"/>
        <w:ind w:left="755" w:right="387" w:firstLine="0"/>
        <w:rPr>
          <w:rFonts w:asciiTheme="minorHAnsi" w:hAnsiTheme="minorHAnsi" w:cstheme="minorHAnsi"/>
          <w:color w:val="231F20"/>
        </w:rPr>
      </w:pPr>
    </w:p>
    <w:p w14:paraId="362A0022" w14:textId="027ABF1C" w:rsidR="00212956" w:rsidRPr="00473D25" w:rsidRDefault="00F432B2" w:rsidP="00F432B2">
      <w:pPr>
        <w:pStyle w:val="ListParagraph"/>
        <w:numPr>
          <w:ilvl w:val="0"/>
          <w:numId w:val="2"/>
        </w:numPr>
        <w:spacing w:before="1" w:line="249" w:lineRule="auto"/>
        <w:ind w:right="387"/>
        <w:rPr>
          <w:rFonts w:asciiTheme="minorHAnsi" w:hAnsiTheme="minorHAnsi" w:cstheme="minorHAnsi"/>
          <w:color w:val="231F20"/>
        </w:rPr>
      </w:pPr>
      <w:r w:rsidRPr="00473D25">
        <w:rPr>
          <w:rFonts w:asciiTheme="minorHAnsi" w:hAnsiTheme="minorHAnsi" w:cstheme="minorHAnsi"/>
          <w:color w:val="231F20"/>
        </w:rPr>
        <w:t>the tax effects of a distribution made pursuant to an MVL may well be different to those to which members are currently subject and each shareholder will need to seek its own advice in that regard.</w:t>
      </w:r>
    </w:p>
    <w:p w14:paraId="2DDAAF5F" w14:textId="77777777" w:rsidR="00F432B2" w:rsidRPr="00473D25" w:rsidRDefault="00F432B2" w:rsidP="00473D25">
      <w:pPr>
        <w:pStyle w:val="ListParagraph"/>
        <w:spacing w:before="1" w:line="249" w:lineRule="auto"/>
        <w:ind w:left="755" w:right="387" w:firstLine="0"/>
      </w:pPr>
    </w:p>
    <w:p w14:paraId="7B7568E3" w14:textId="48C4D710" w:rsidR="00F432B2" w:rsidRPr="00473D25" w:rsidRDefault="00F432B2" w:rsidP="00212956">
      <w:pPr>
        <w:spacing w:before="1" w:line="249" w:lineRule="auto"/>
        <w:ind w:left="395" w:right="387"/>
        <w:jc w:val="both"/>
        <w:rPr>
          <w:rFonts w:cstheme="minorHAnsi"/>
          <w:color w:val="231F20"/>
        </w:rPr>
      </w:pPr>
      <w:r w:rsidRPr="00473D25">
        <w:rPr>
          <w:rFonts w:cstheme="minorHAnsi"/>
          <w:color w:val="231F20"/>
        </w:rPr>
        <w:t xml:space="preserve">As noted above, the Board will consider the possibility, in due course, of reversing Sparkledun and F2F into Ridgecrest but also remains open to appraising other reverse takeover candidates and any credible alternative investment opportunities that present themselves as the Board continues to believe that a reverse takeover remains in the best interests of shareholders.  </w:t>
      </w:r>
    </w:p>
    <w:p w14:paraId="2B61E6F1" w14:textId="43314117" w:rsidR="00F432B2" w:rsidRPr="00473D25" w:rsidRDefault="00F432B2" w:rsidP="00473D25">
      <w:pPr>
        <w:spacing w:before="1" w:line="249" w:lineRule="auto"/>
        <w:ind w:left="395" w:right="387"/>
        <w:jc w:val="both"/>
        <w:rPr>
          <w:rFonts w:cstheme="minorHAnsi"/>
          <w:color w:val="231F20"/>
        </w:rPr>
      </w:pPr>
      <w:r w:rsidRPr="00473D25">
        <w:rPr>
          <w:rFonts w:cstheme="minorHAnsi"/>
          <w:color w:val="231F20"/>
        </w:rPr>
        <w:t>The Schezzini Shareholder Group has proposed the appointment of two new directors who would be willing to implement its proposed strategy. Should shareholders approve the resolutions to be proposed at the General Meeting, the Non-Executive joint Chairmen would both stand down following the meeting.</w:t>
      </w:r>
    </w:p>
    <w:p w14:paraId="2D2D6DB0" w14:textId="766CBDB0" w:rsidR="00F432B2" w:rsidRPr="00473D25" w:rsidRDefault="00F432B2" w:rsidP="00212956">
      <w:pPr>
        <w:spacing w:before="1" w:line="249" w:lineRule="auto"/>
        <w:ind w:left="395" w:right="387"/>
        <w:jc w:val="both"/>
        <w:rPr>
          <w:rFonts w:cstheme="minorHAnsi"/>
          <w:color w:val="231F20"/>
        </w:rPr>
      </w:pPr>
      <w:r w:rsidRPr="00473D25">
        <w:rPr>
          <w:rFonts w:cstheme="minorHAnsi"/>
          <w:color w:val="231F20"/>
        </w:rPr>
        <w:t>Set</w:t>
      </w:r>
      <w:r w:rsidRPr="00473D25">
        <w:rPr>
          <w:rFonts w:cstheme="minorHAnsi"/>
          <w:color w:val="231F20"/>
          <w:spacing w:val="-14"/>
        </w:rPr>
        <w:t xml:space="preserve"> </w:t>
      </w:r>
      <w:r w:rsidRPr="00473D25">
        <w:rPr>
          <w:rFonts w:cstheme="minorHAnsi"/>
          <w:color w:val="231F20"/>
        </w:rPr>
        <w:t>out</w:t>
      </w:r>
      <w:r w:rsidRPr="00473D25">
        <w:rPr>
          <w:rFonts w:cstheme="minorHAnsi"/>
          <w:color w:val="231F20"/>
          <w:spacing w:val="-14"/>
        </w:rPr>
        <w:t xml:space="preserve"> </w:t>
      </w:r>
      <w:r w:rsidRPr="00473D25">
        <w:rPr>
          <w:rFonts w:cstheme="minorHAnsi"/>
          <w:color w:val="231F20"/>
        </w:rPr>
        <w:t>at</w:t>
      </w:r>
      <w:r w:rsidRPr="00473D25">
        <w:rPr>
          <w:rFonts w:cstheme="minorHAnsi"/>
          <w:color w:val="231F20"/>
          <w:spacing w:val="-14"/>
        </w:rPr>
        <w:t xml:space="preserve"> </w:t>
      </w:r>
      <w:r w:rsidRPr="00473D25">
        <w:rPr>
          <w:rFonts w:cstheme="minorHAnsi"/>
          <w:color w:val="231F20"/>
        </w:rPr>
        <w:t>the</w:t>
      </w:r>
      <w:r w:rsidRPr="00473D25">
        <w:rPr>
          <w:rFonts w:cstheme="minorHAnsi"/>
          <w:color w:val="231F20"/>
          <w:spacing w:val="-14"/>
        </w:rPr>
        <w:t xml:space="preserve"> </w:t>
      </w:r>
      <w:r w:rsidRPr="00473D25">
        <w:rPr>
          <w:rFonts w:cstheme="minorHAnsi"/>
          <w:color w:val="231F20"/>
        </w:rPr>
        <w:t>end</w:t>
      </w:r>
      <w:r w:rsidRPr="00473D25">
        <w:rPr>
          <w:rFonts w:cstheme="minorHAnsi"/>
          <w:color w:val="231F20"/>
          <w:spacing w:val="-12"/>
        </w:rPr>
        <w:t xml:space="preserve"> </w:t>
      </w:r>
      <w:r w:rsidRPr="00473D25">
        <w:rPr>
          <w:rFonts w:cstheme="minorHAnsi"/>
          <w:color w:val="231F20"/>
        </w:rPr>
        <w:t>of</w:t>
      </w:r>
      <w:r w:rsidRPr="00473D25">
        <w:rPr>
          <w:rFonts w:cstheme="minorHAnsi"/>
          <w:color w:val="231F20"/>
          <w:spacing w:val="-13"/>
        </w:rPr>
        <w:t xml:space="preserve"> </w:t>
      </w:r>
      <w:r w:rsidRPr="00473D25">
        <w:rPr>
          <w:rFonts w:cstheme="minorHAnsi"/>
          <w:color w:val="231F20"/>
        </w:rPr>
        <w:t>this</w:t>
      </w:r>
      <w:r w:rsidRPr="00473D25">
        <w:rPr>
          <w:rFonts w:cstheme="minorHAnsi"/>
          <w:color w:val="231F20"/>
          <w:spacing w:val="-12"/>
        </w:rPr>
        <w:t xml:space="preserve"> </w:t>
      </w:r>
      <w:r w:rsidRPr="00473D25">
        <w:rPr>
          <w:rFonts w:cstheme="minorHAnsi"/>
          <w:color w:val="231F20"/>
        </w:rPr>
        <w:t>document</w:t>
      </w:r>
      <w:r w:rsidRPr="00473D25">
        <w:rPr>
          <w:rFonts w:cstheme="minorHAnsi"/>
          <w:color w:val="231F20"/>
          <w:spacing w:val="-12"/>
        </w:rPr>
        <w:t xml:space="preserve"> </w:t>
      </w:r>
      <w:r w:rsidRPr="00473D25">
        <w:rPr>
          <w:rFonts w:cstheme="minorHAnsi"/>
          <w:color w:val="231F20"/>
        </w:rPr>
        <w:t>is</w:t>
      </w:r>
      <w:r w:rsidRPr="00473D25">
        <w:rPr>
          <w:rFonts w:cstheme="minorHAnsi"/>
          <w:color w:val="231F20"/>
          <w:spacing w:val="-12"/>
        </w:rPr>
        <w:t xml:space="preserve"> </w:t>
      </w:r>
      <w:r w:rsidRPr="00473D25">
        <w:rPr>
          <w:rFonts w:cstheme="minorHAnsi"/>
          <w:color w:val="231F20"/>
        </w:rPr>
        <w:t>the notice</w:t>
      </w:r>
      <w:r w:rsidRPr="00473D25">
        <w:rPr>
          <w:rFonts w:cstheme="minorHAnsi"/>
          <w:color w:val="231F20"/>
          <w:spacing w:val="-12"/>
        </w:rPr>
        <w:t xml:space="preserve"> </w:t>
      </w:r>
      <w:r w:rsidRPr="00473D25">
        <w:rPr>
          <w:rFonts w:cstheme="minorHAnsi"/>
          <w:color w:val="231F20"/>
        </w:rPr>
        <w:t>convening</w:t>
      </w:r>
      <w:r w:rsidRPr="00473D25">
        <w:rPr>
          <w:rFonts w:cstheme="minorHAnsi"/>
          <w:color w:val="231F20"/>
          <w:spacing w:val="-12"/>
        </w:rPr>
        <w:t xml:space="preserve"> </w:t>
      </w:r>
      <w:r w:rsidRPr="00473D25">
        <w:rPr>
          <w:rFonts w:cstheme="minorHAnsi"/>
          <w:color w:val="231F20"/>
        </w:rPr>
        <w:t>a</w:t>
      </w:r>
      <w:r w:rsidRPr="00473D25">
        <w:rPr>
          <w:rFonts w:cstheme="minorHAnsi"/>
          <w:color w:val="231F20"/>
          <w:spacing w:val="-14"/>
        </w:rPr>
        <w:t xml:space="preserve"> </w:t>
      </w:r>
      <w:r w:rsidRPr="00473D25">
        <w:rPr>
          <w:rFonts w:cstheme="minorHAnsi"/>
          <w:color w:val="231F20"/>
        </w:rPr>
        <w:t>General</w:t>
      </w:r>
      <w:r w:rsidRPr="00473D25">
        <w:rPr>
          <w:rFonts w:cstheme="minorHAnsi"/>
          <w:color w:val="231F20"/>
          <w:spacing w:val="-12"/>
        </w:rPr>
        <w:t xml:space="preserve"> </w:t>
      </w:r>
      <w:r w:rsidRPr="00473D25">
        <w:rPr>
          <w:rFonts w:cstheme="minorHAnsi"/>
          <w:color w:val="231F20"/>
        </w:rPr>
        <w:t>Meeting</w:t>
      </w:r>
      <w:r w:rsidRPr="00473D25">
        <w:rPr>
          <w:rFonts w:cstheme="minorHAnsi"/>
          <w:color w:val="231F20"/>
          <w:spacing w:val="-1"/>
        </w:rPr>
        <w:t xml:space="preserve"> </w:t>
      </w:r>
      <w:r w:rsidRPr="00473D25">
        <w:rPr>
          <w:rFonts w:cstheme="minorHAnsi"/>
          <w:color w:val="231F20"/>
        </w:rPr>
        <w:t>of</w:t>
      </w:r>
      <w:r w:rsidRPr="00473D25">
        <w:rPr>
          <w:rFonts w:cstheme="minorHAnsi"/>
          <w:color w:val="231F20"/>
          <w:spacing w:val="-1"/>
        </w:rPr>
        <w:t xml:space="preserve"> </w:t>
      </w:r>
      <w:r w:rsidRPr="00473D25">
        <w:rPr>
          <w:rFonts w:cstheme="minorHAnsi"/>
          <w:color w:val="231F20"/>
        </w:rPr>
        <w:t>the</w:t>
      </w:r>
      <w:r w:rsidRPr="00473D25">
        <w:rPr>
          <w:rFonts w:cstheme="minorHAnsi"/>
          <w:color w:val="231F20"/>
          <w:spacing w:val="-1"/>
        </w:rPr>
        <w:t xml:space="preserve"> </w:t>
      </w:r>
      <w:r w:rsidRPr="00473D25">
        <w:rPr>
          <w:rFonts w:cstheme="minorHAnsi"/>
          <w:color w:val="231F20"/>
        </w:rPr>
        <w:t>Company to be held at the offices of Allenby Capital Limited, 5</w:t>
      </w:r>
      <w:r w:rsidRPr="00473D25">
        <w:rPr>
          <w:rFonts w:cstheme="minorHAnsi"/>
          <w:color w:val="231F20"/>
          <w:vertAlign w:val="superscript"/>
        </w:rPr>
        <w:t>th</w:t>
      </w:r>
      <w:r w:rsidRPr="00473D25">
        <w:rPr>
          <w:rFonts w:cstheme="minorHAnsi"/>
          <w:color w:val="231F20"/>
        </w:rPr>
        <w:t xml:space="preserve"> Floor, 5 St Helen's Place, London EC3A 6AB at 11:00 a.m. on 9</w:t>
      </w:r>
      <w:r w:rsidRPr="00473D25">
        <w:rPr>
          <w:rFonts w:cstheme="minorHAnsi"/>
          <w:color w:val="231F20"/>
          <w:vertAlign w:val="superscript"/>
        </w:rPr>
        <w:t>th</w:t>
      </w:r>
      <w:r w:rsidRPr="00473D25">
        <w:rPr>
          <w:rFonts w:cstheme="minorHAnsi"/>
          <w:color w:val="231F20"/>
        </w:rPr>
        <w:t xml:space="preserve"> May 2024 at which the ordinary business set out in Resolutions 1 to 3 will be proposed, namely:</w:t>
      </w:r>
    </w:p>
    <w:p w14:paraId="42D5C9DC" w14:textId="77777777" w:rsidR="00F432B2" w:rsidRPr="00473D25" w:rsidRDefault="00F432B2" w:rsidP="00F432B2">
      <w:pPr>
        <w:pStyle w:val="ListParagraph"/>
        <w:numPr>
          <w:ilvl w:val="0"/>
          <w:numId w:val="1"/>
        </w:numPr>
        <w:tabs>
          <w:tab w:val="left" w:pos="1115"/>
        </w:tabs>
        <w:spacing w:before="1" w:line="244" w:lineRule="auto"/>
        <w:ind w:right="388"/>
        <w:rPr>
          <w:rFonts w:asciiTheme="minorHAnsi" w:hAnsiTheme="minorHAnsi" w:cstheme="minorHAnsi"/>
        </w:rPr>
      </w:pPr>
      <w:r w:rsidRPr="00473D25">
        <w:rPr>
          <w:rFonts w:asciiTheme="minorHAnsi" w:hAnsiTheme="minorHAnsi" w:cstheme="minorHAnsi"/>
        </w:rPr>
        <w:t xml:space="preserve">to propose the election of John Barker as a director; </w:t>
      </w:r>
    </w:p>
    <w:p w14:paraId="1EADDD5B" w14:textId="77777777" w:rsidR="00F432B2" w:rsidRPr="00473D25" w:rsidRDefault="00F432B2" w:rsidP="00F432B2">
      <w:pPr>
        <w:pStyle w:val="ListParagraph"/>
        <w:tabs>
          <w:tab w:val="left" w:pos="1115"/>
        </w:tabs>
        <w:spacing w:before="1" w:line="244" w:lineRule="auto"/>
        <w:ind w:left="1115" w:right="388" w:firstLine="0"/>
        <w:rPr>
          <w:rFonts w:asciiTheme="minorHAnsi" w:hAnsiTheme="minorHAnsi" w:cstheme="minorHAnsi"/>
        </w:rPr>
      </w:pPr>
    </w:p>
    <w:p w14:paraId="0F11BD22" w14:textId="77777777" w:rsidR="00F432B2" w:rsidRPr="00473D25" w:rsidRDefault="00F432B2" w:rsidP="00F432B2">
      <w:pPr>
        <w:pStyle w:val="ListParagraph"/>
        <w:numPr>
          <w:ilvl w:val="0"/>
          <w:numId w:val="1"/>
        </w:numPr>
        <w:tabs>
          <w:tab w:val="left" w:pos="1115"/>
        </w:tabs>
        <w:spacing w:before="1" w:line="244" w:lineRule="auto"/>
        <w:ind w:right="388"/>
        <w:rPr>
          <w:rFonts w:asciiTheme="minorHAnsi" w:hAnsiTheme="minorHAnsi" w:cstheme="minorHAnsi"/>
        </w:rPr>
      </w:pPr>
      <w:r w:rsidRPr="00473D25">
        <w:rPr>
          <w:rFonts w:asciiTheme="minorHAnsi" w:hAnsiTheme="minorHAnsi" w:cstheme="minorHAnsi"/>
        </w:rPr>
        <w:t>to propose the election of Nicholas Clark as a director; and</w:t>
      </w:r>
    </w:p>
    <w:p w14:paraId="3691895C" w14:textId="77777777" w:rsidR="00F432B2" w:rsidRPr="00473D25" w:rsidRDefault="00F432B2" w:rsidP="00F432B2">
      <w:pPr>
        <w:pStyle w:val="ListParagraph"/>
        <w:rPr>
          <w:rFonts w:asciiTheme="minorHAnsi" w:hAnsiTheme="minorHAnsi" w:cstheme="minorHAnsi"/>
        </w:rPr>
      </w:pPr>
    </w:p>
    <w:p w14:paraId="72F35819" w14:textId="2F542BAC" w:rsidR="00212956" w:rsidRPr="00473D25" w:rsidRDefault="00F432B2" w:rsidP="00473D25">
      <w:pPr>
        <w:pStyle w:val="ListParagraph"/>
        <w:tabs>
          <w:tab w:val="left" w:pos="1115"/>
        </w:tabs>
        <w:spacing w:before="1" w:line="244" w:lineRule="auto"/>
        <w:ind w:left="1115" w:right="388" w:firstLine="0"/>
        <w:rPr>
          <w:rFonts w:asciiTheme="minorHAnsi" w:hAnsiTheme="minorHAnsi" w:cstheme="minorHAnsi"/>
        </w:rPr>
      </w:pPr>
      <w:r w:rsidRPr="00473D25">
        <w:rPr>
          <w:rFonts w:asciiTheme="minorHAnsi" w:hAnsiTheme="minorHAnsi" w:cstheme="minorHAnsi"/>
        </w:rPr>
        <w:t>to require the Board to implement the Schezzini Shareholder Group strategy, as set out above, and to grant the Board full authority to make such variations to that strategy as it sees fit.</w:t>
      </w:r>
    </w:p>
    <w:p w14:paraId="66D3215E" w14:textId="77777777" w:rsidR="00F432B2" w:rsidRPr="00473D25" w:rsidRDefault="00F432B2" w:rsidP="00473D25">
      <w:pPr>
        <w:pStyle w:val="ListParagraph"/>
        <w:tabs>
          <w:tab w:val="left" w:pos="1115"/>
        </w:tabs>
        <w:spacing w:before="1" w:line="244" w:lineRule="auto"/>
        <w:ind w:left="1115" w:right="388" w:firstLine="0"/>
        <w:rPr>
          <w:rFonts w:cstheme="minorHAnsi"/>
        </w:rPr>
      </w:pPr>
    </w:p>
    <w:p w14:paraId="4CB3FB4C" w14:textId="77777777" w:rsidR="00F432B2" w:rsidRPr="00473D25" w:rsidRDefault="00F432B2" w:rsidP="00F432B2">
      <w:pPr>
        <w:ind w:left="279" w:right="273"/>
        <w:jc w:val="both"/>
        <w:rPr>
          <w:rFonts w:cstheme="minorHAnsi"/>
        </w:rPr>
      </w:pPr>
      <w:r w:rsidRPr="00473D25">
        <w:rPr>
          <w:rFonts w:cstheme="minorHAnsi"/>
        </w:rPr>
        <w:t xml:space="preserve">The resolution to implement the Schezzini Shareholder Group strategy is conditional on the appointment of the new directors.  Should both the new directors not be appointed, the resolution to implement the Schezzini Shareholder Group strategy will not be put to the meeting. </w:t>
      </w:r>
    </w:p>
    <w:p w14:paraId="2FBC7EE2" w14:textId="77777777" w:rsidR="00F432B2" w:rsidRPr="00473D25" w:rsidRDefault="00F432B2" w:rsidP="00F432B2">
      <w:pPr>
        <w:ind w:left="279" w:right="273"/>
        <w:jc w:val="both"/>
        <w:rPr>
          <w:rFonts w:cstheme="minorHAnsi"/>
        </w:rPr>
      </w:pPr>
    </w:p>
    <w:p w14:paraId="0D4D5B46" w14:textId="70DCDB46" w:rsidR="00F432B2" w:rsidRPr="00473D25" w:rsidRDefault="00F432B2" w:rsidP="00982E5F">
      <w:pPr>
        <w:ind w:left="279" w:right="273"/>
        <w:jc w:val="both"/>
        <w:rPr>
          <w:rFonts w:cstheme="minorHAnsi"/>
        </w:rPr>
      </w:pPr>
      <w:r w:rsidRPr="00473D25">
        <w:rPr>
          <w:rFonts w:cstheme="minorHAnsi"/>
        </w:rPr>
        <w:lastRenderedPageBreak/>
        <w:t xml:space="preserve">As noted above, if the resolutions are all passed at the General Meeting (or at any adjournment thereof), your existing directors will resign their positions with effect from conclusion of the meeting. </w:t>
      </w:r>
    </w:p>
    <w:p w14:paraId="573CF23A" w14:textId="15DCA144" w:rsidR="00F432B2" w:rsidRPr="00473D25" w:rsidRDefault="00F432B2" w:rsidP="00982E5F">
      <w:pPr>
        <w:ind w:left="279" w:right="273"/>
        <w:jc w:val="both"/>
        <w:rPr>
          <w:rFonts w:cstheme="minorHAnsi"/>
        </w:rPr>
      </w:pPr>
      <w:r w:rsidRPr="00473D25">
        <w:rPr>
          <w:rFonts w:cstheme="minorHAnsi"/>
        </w:rPr>
        <w:t xml:space="preserve">If shareholders wish the current Board to continue with the Company’s existing strategy, they should vote </w:t>
      </w:r>
      <w:r w:rsidRPr="00473D25">
        <w:rPr>
          <w:rFonts w:cstheme="minorHAnsi"/>
          <w:u w:val="single"/>
        </w:rPr>
        <w:t>AGAINST</w:t>
      </w:r>
      <w:r w:rsidRPr="00473D25">
        <w:rPr>
          <w:rFonts w:cstheme="minorHAnsi"/>
        </w:rPr>
        <w:t xml:space="preserve"> the resolutions.</w:t>
      </w:r>
    </w:p>
    <w:p w14:paraId="3258C56B" w14:textId="50E0AABE" w:rsidR="00F432B2" w:rsidRPr="00473D25" w:rsidRDefault="00F432B2" w:rsidP="00982E5F">
      <w:pPr>
        <w:ind w:left="279" w:right="273"/>
        <w:jc w:val="both"/>
        <w:rPr>
          <w:rFonts w:cstheme="minorHAnsi"/>
        </w:rPr>
      </w:pPr>
      <w:r w:rsidRPr="00473D25">
        <w:rPr>
          <w:rFonts w:cstheme="minorHAnsi"/>
          <w:b/>
          <w:bCs/>
        </w:rPr>
        <w:t>Information on the proposed directors</w:t>
      </w:r>
    </w:p>
    <w:p w14:paraId="484AB653" w14:textId="23EB401A" w:rsidR="00F432B2" w:rsidRPr="00473D25" w:rsidRDefault="00F432B2" w:rsidP="00982E5F">
      <w:pPr>
        <w:ind w:left="279" w:right="273"/>
        <w:jc w:val="both"/>
        <w:rPr>
          <w:rFonts w:cstheme="minorHAnsi"/>
        </w:rPr>
      </w:pPr>
      <w:r w:rsidRPr="00473D25">
        <w:rPr>
          <w:rFonts w:cstheme="minorHAnsi"/>
          <w:b/>
          <w:bCs/>
        </w:rPr>
        <w:t>John Barker</w:t>
      </w:r>
      <w:r w:rsidRPr="00473D25">
        <w:rPr>
          <w:rFonts w:cstheme="minorHAnsi"/>
        </w:rPr>
        <w:t xml:space="preserve"> (aged 63). John was a director at Instinet UK Limited, being a founder employee in 1988. Instinet was acquired and is now owned by Nomura. John was a founder director at Liquidnet Europe Limited which was successfully sold to ICAP in 2021. John has held numerous director roles in the financial services sector, as well as a number of director and chairman roles in the sports, games and e-sports sector, having sold Phoenix Games Network Limited and XSeries Limited to a NASDAQ-quoted company in 2021. John was appointed as a Non-Executive Director of Mobile Streams plc, an AIM quoted mobile content and data intelligence company, on 11 April 2024. </w:t>
      </w:r>
    </w:p>
    <w:p w14:paraId="6C58A940" w14:textId="63C86EF4" w:rsidR="00F432B2" w:rsidRPr="00473D25" w:rsidRDefault="00F432B2" w:rsidP="00473D25">
      <w:pPr>
        <w:ind w:left="279" w:right="273"/>
        <w:jc w:val="both"/>
        <w:rPr>
          <w:rFonts w:cstheme="minorHAnsi"/>
        </w:rPr>
      </w:pPr>
      <w:r w:rsidRPr="00473D25">
        <w:rPr>
          <w:rFonts w:cstheme="minorHAnsi"/>
        </w:rPr>
        <w:t>John is the beneficial owner of 3,500,000 ordinary shares in Ridgecrest, representing 0.78 per cent. of the Company’s issued share capital.</w:t>
      </w:r>
    </w:p>
    <w:p w14:paraId="6658EB57" w14:textId="2A3CA0FF" w:rsidR="00F432B2" w:rsidRPr="00473D25" w:rsidRDefault="00F432B2" w:rsidP="00982E5F">
      <w:pPr>
        <w:ind w:left="279" w:right="273"/>
        <w:jc w:val="both"/>
        <w:rPr>
          <w:rFonts w:cstheme="minorHAnsi"/>
        </w:rPr>
      </w:pPr>
      <w:r w:rsidRPr="00473D25">
        <w:rPr>
          <w:rFonts w:cstheme="minorHAnsi"/>
          <w:b/>
          <w:bCs/>
        </w:rPr>
        <w:t>Nicholas (“Nick”) Clark</w:t>
      </w:r>
      <w:r w:rsidRPr="00473D25">
        <w:rPr>
          <w:rFonts w:cstheme="minorHAnsi"/>
        </w:rPr>
        <w:t xml:space="preserve"> (aged 49). Nick was appointed as Chief Executive of AIM-quoted Aukett Swanke Group plc in April 2023 following the acquisition of Torpedo Factory Group Ltd ("</w:t>
      </w:r>
      <w:r w:rsidRPr="00473D25">
        <w:rPr>
          <w:rFonts w:cstheme="minorHAnsi"/>
          <w:b/>
          <w:bCs/>
        </w:rPr>
        <w:t>TFG</w:t>
      </w:r>
      <w:r w:rsidRPr="00473D25">
        <w:rPr>
          <w:rFonts w:cstheme="minorHAnsi"/>
        </w:rPr>
        <w:t>"), a company he founded in 1997. Nick is also a non-executive director at Acuity RM Group plc, the AIM-quoted provider of risk management software.  Prior to starting TFG, Nick studied physics at Imperial College, followed by an MPhil in Microelectronic Engineering and Semiconductor Physics at the University of Cambridge. Nick was a director of HVS Media Limited, a company which became insolvent whilst he was a director. He became a director of HVS Media Limited when the company was acquired on 4 July 2007 by TFG for a nominal consideration. It was placed into administration on 9 May 2008, and while secured creditors were paid in full there was an estimated shortfall to unsecured creditors of £225,355.</w:t>
      </w:r>
    </w:p>
    <w:p w14:paraId="7C494C8E" w14:textId="77777777" w:rsidR="00F432B2" w:rsidRPr="00473D25" w:rsidRDefault="00F432B2" w:rsidP="00F432B2">
      <w:pPr>
        <w:ind w:left="279" w:right="273"/>
        <w:jc w:val="both"/>
        <w:rPr>
          <w:rFonts w:cstheme="minorHAnsi"/>
        </w:rPr>
      </w:pPr>
      <w:r w:rsidRPr="00473D25">
        <w:rPr>
          <w:rFonts w:cstheme="minorHAnsi"/>
        </w:rPr>
        <w:t>Nick is the beneficial owner of 100,000 ordinary shares in Ridgecrest, representing 0.02 per cent. of the Company’s issued share capital.</w:t>
      </w:r>
    </w:p>
    <w:p w14:paraId="16E2A59C" w14:textId="2F9F4208" w:rsidR="00F432B2" w:rsidRPr="00473D25" w:rsidRDefault="00F432B2" w:rsidP="00473D25">
      <w:pPr>
        <w:ind w:left="279"/>
      </w:pPr>
      <w:r w:rsidRPr="00473D25">
        <w:rPr>
          <w:rFonts w:cstheme="minorHAnsi"/>
          <w:b/>
          <w:color w:val="231F20"/>
          <w:spacing w:val="-2"/>
        </w:rPr>
        <w:t>Recommendation</w:t>
      </w:r>
    </w:p>
    <w:p w14:paraId="3BEF91B0" w14:textId="338B6C26" w:rsidR="00F432B2" w:rsidRPr="00473D25" w:rsidRDefault="00F432B2" w:rsidP="00982E5F">
      <w:pPr>
        <w:spacing w:line="249" w:lineRule="auto"/>
        <w:ind w:left="279" w:right="387"/>
        <w:jc w:val="both"/>
        <w:rPr>
          <w:rFonts w:cstheme="minorHAnsi"/>
          <w:b/>
        </w:rPr>
      </w:pPr>
      <w:r w:rsidRPr="00473D25">
        <w:rPr>
          <w:rFonts w:cstheme="minorHAnsi"/>
          <w:b/>
          <w:color w:val="231F20"/>
        </w:rPr>
        <w:t>The</w:t>
      </w:r>
      <w:r w:rsidRPr="00473D25">
        <w:rPr>
          <w:rFonts w:cstheme="minorHAnsi"/>
          <w:b/>
          <w:color w:val="231F20"/>
          <w:spacing w:val="-7"/>
        </w:rPr>
        <w:t xml:space="preserve"> </w:t>
      </w:r>
      <w:r w:rsidRPr="00473D25">
        <w:rPr>
          <w:rFonts w:cstheme="minorHAnsi"/>
          <w:b/>
          <w:color w:val="231F20"/>
        </w:rPr>
        <w:t>Board, for the reasons set out above,</w:t>
      </w:r>
      <w:r w:rsidRPr="00473D25">
        <w:rPr>
          <w:rFonts w:cstheme="minorHAnsi"/>
          <w:b/>
          <w:color w:val="231F20"/>
          <w:spacing w:val="-7"/>
        </w:rPr>
        <w:t xml:space="preserve"> </w:t>
      </w:r>
      <w:r w:rsidRPr="00473D25">
        <w:rPr>
          <w:rFonts w:cstheme="minorHAnsi"/>
          <w:b/>
          <w:color w:val="231F20"/>
          <w:spacing w:val="-7"/>
          <w:u w:val="single"/>
        </w:rPr>
        <w:t>DO NOT</w:t>
      </w:r>
      <w:r w:rsidRPr="00473D25">
        <w:rPr>
          <w:rFonts w:cstheme="minorHAnsi"/>
          <w:b/>
          <w:color w:val="231F20"/>
          <w:spacing w:val="-7"/>
        </w:rPr>
        <w:t xml:space="preserve"> </w:t>
      </w:r>
      <w:r w:rsidRPr="00473D25">
        <w:rPr>
          <w:rFonts w:cstheme="minorHAnsi"/>
          <w:b/>
          <w:color w:val="231F20"/>
        </w:rPr>
        <w:t>consider</w:t>
      </w:r>
      <w:r w:rsidRPr="00473D25">
        <w:rPr>
          <w:rFonts w:cstheme="minorHAnsi"/>
          <w:b/>
          <w:color w:val="231F20"/>
          <w:spacing w:val="-7"/>
        </w:rPr>
        <w:t xml:space="preserve"> </w:t>
      </w:r>
      <w:r w:rsidRPr="00473D25">
        <w:rPr>
          <w:rFonts w:cstheme="minorHAnsi"/>
          <w:b/>
          <w:color w:val="231F20"/>
        </w:rPr>
        <w:t>the</w:t>
      </w:r>
      <w:r w:rsidRPr="00473D25">
        <w:rPr>
          <w:rFonts w:cstheme="minorHAnsi"/>
          <w:b/>
          <w:color w:val="231F20"/>
          <w:spacing w:val="-8"/>
        </w:rPr>
        <w:t xml:space="preserve"> </w:t>
      </w:r>
      <w:r w:rsidRPr="00473D25">
        <w:rPr>
          <w:rFonts w:cstheme="minorHAnsi"/>
          <w:b/>
          <w:color w:val="231F20"/>
        </w:rPr>
        <w:t>business</w:t>
      </w:r>
      <w:r w:rsidRPr="00473D25">
        <w:rPr>
          <w:rFonts w:cstheme="minorHAnsi"/>
          <w:b/>
          <w:color w:val="231F20"/>
          <w:spacing w:val="-7"/>
        </w:rPr>
        <w:t xml:space="preserve"> </w:t>
      </w:r>
      <w:r w:rsidRPr="00473D25">
        <w:rPr>
          <w:rFonts w:cstheme="minorHAnsi"/>
          <w:b/>
          <w:color w:val="231F20"/>
        </w:rPr>
        <w:t>to</w:t>
      </w:r>
      <w:r w:rsidRPr="00473D25">
        <w:rPr>
          <w:rFonts w:cstheme="minorHAnsi"/>
          <w:b/>
          <w:color w:val="231F20"/>
          <w:spacing w:val="-7"/>
        </w:rPr>
        <w:t xml:space="preserve"> </w:t>
      </w:r>
      <w:r w:rsidRPr="00473D25">
        <w:rPr>
          <w:rFonts w:cstheme="minorHAnsi"/>
          <w:b/>
          <w:color w:val="231F20"/>
        </w:rPr>
        <w:t>be</w:t>
      </w:r>
      <w:r w:rsidRPr="00473D25">
        <w:rPr>
          <w:rFonts w:cstheme="minorHAnsi"/>
          <w:b/>
          <w:color w:val="231F20"/>
          <w:spacing w:val="-7"/>
        </w:rPr>
        <w:t xml:space="preserve"> </w:t>
      </w:r>
      <w:r w:rsidRPr="00473D25">
        <w:rPr>
          <w:rFonts w:cstheme="minorHAnsi"/>
          <w:b/>
          <w:color w:val="231F20"/>
        </w:rPr>
        <w:t>proposed</w:t>
      </w:r>
      <w:r w:rsidRPr="00473D25">
        <w:rPr>
          <w:rFonts w:cstheme="minorHAnsi"/>
          <w:b/>
          <w:color w:val="231F20"/>
          <w:spacing w:val="-7"/>
        </w:rPr>
        <w:t xml:space="preserve"> </w:t>
      </w:r>
      <w:r w:rsidRPr="00473D25">
        <w:rPr>
          <w:rFonts w:cstheme="minorHAnsi"/>
          <w:b/>
          <w:color w:val="231F20"/>
        </w:rPr>
        <w:t>at</w:t>
      </w:r>
      <w:r w:rsidRPr="00473D25">
        <w:rPr>
          <w:rFonts w:cstheme="minorHAnsi"/>
          <w:b/>
          <w:color w:val="231F20"/>
          <w:spacing w:val="-7"/>
        </w:rPr>
        <w:t xml:space="preserve"> </w:t>
      </w:r>
      <w:r w:rsidRPr="00473D25">
        <w:rPr>
          <w:rFonts w:cstheme="minorHAnsi"/>
          <w:b/>
          <w:color w:val="231F20"/>
        </w:rPr>
        <w:t>the</w:t>
      </w:r>
      <w:r w:rsidRPr="00473D25">
        <w:rPr>
          <w:rFonts w:cstheme="minorHAnsi"/>
          <w:b/>
          <w:color w:val="231F20"/>
          <w:spacing w:val="-8"/>
        </w:rPr>
        <w:t xml:space="preserve"> </w:t>
      </w:r>
      <w:r w:rsidRPr="00473D25">
        <w:rPr>
          <w:rFonts w:cstheme="minorHAnsi"/>
          <w:b/>
          <w:color w:val="231F20"/>
        </w:rPr>
        <w:t>General</w:t>
      </w:r>
      <w:r w:rsidRPr="00473D25">
        <w:rPr>
          <w:rFonts w:cstheme="minorHAnsi"/>
          <w:b/>
          <w:color w:val="231F20"/>
          <w:spacing w:val="-11"/>
        </w:rPr>
        <w:t xml:space="preserve"> </w:t>
      </w:r>
      <w:r w:rsidRPr="00473D25">
        <w:rPr>
          <w:rFonts w:cstheme="minorHAnsi"/>
          <w:b/>
          <w:color w:val="231F20"/>
        </w:rPr>
        <w:t>Meeting</w:t>
      </w:r>
      <w:r w:rsidRPr="00473D25">
        <w:rPr>
          <w:rFonts w:cstheme="minorHAnsi"/>
          <w:b/>
          <w:color w:val="231F20"/>
          <w:spacing w:val="-10"/>
        </w:rPr>
        <w:t xml:space="preserve"> </w:t>
      </w:r>
      <w:r w:rsidRPr="00473D25">
        <w:rPr>
          <w:rFonts w:cstheme="minorHAnsi"/>
          <w:b/>
          <w:color w:val="231F20"/>
        </w:rPr>
        <w:t>to</w:t>
      </w:r>
      <w:r w:rsidRPr="00473D25">
        <w:rPr>
          <w:rFonts w:cstheme="minorHAnsi"/>
          <w:b/>
          <w:color w:val="231F20"/>
          <w:spacing w:val="-8"/>
        </w:rPr>
        <w:t xml:space="preserve"> </w:t>
      </w:r>
      <w:r w:rsidRPr="00473D25">
        <w:rPr>
          <w:rFonts w:cstheme="minorHAnsi"/>
          <w:b/>
          <w:color w:val="231F20"/>
        </w:rPr>
        <w:t>be</w:t>
      </w:r>
      <w:r w:rsidRPr="00473D25">
        <w:rPr>
          <w:rFonts w:cstheme="minorHAnsi"/>
          <w:b/>
          <w:color w:val="231F20"/>
          <w:spacing w:val="-8"/>
        </w:rPr>
        <w:t xml:space="preserve"> </w:t>
      </w:r>
      <w:r w:rsidRPr="00473D25">
        <w:rPr>
          <w:rFonts w:cstheme="minorHAnsi"/>
          <w:b/>
          <w:color w:val="231F20"/>
        </w:rPr>
        <w:t>in</w:t>
      </w:r>
      <w:r w:rsidRPr="00473D25">
        <w:rPr>
          <w:rFonts w:cstheme="minorHAnsi"/>
          <w:b/>
          <w:color w:val="231F20"/>
          <w:spacing w:val="-8"/>
        </w:rPr>
        <w:t xml:space="preserve"> </w:t>
      </w:r>
      <w:r w:rsidRPr="00473D25">
        <w:rPr>
          <w:rFonts w:cstheme="minorHAnsi"/>
          <w:b/>
          <w:color w:val="231F20"/>
        </w:rPr>
        <w:t>the</w:t>
      </w:r>
      <w:r w:rsidRPr="00473D25">
        <w:rPr>
          <w:rFonts w:cstheme="minorHAnsi"/>
          <w:b/>
          <w:color w:val="231F20"/>
          <w:spacing w:val="-8"/>
        </w:rPr>
        <w:t xml:space="preserve"> </w:t>
      </w:r>
      <w:r w:rsidRPr="00473D25">
        <w:rPr>
          <w:rFonts w:cstheme="minorHAnsi"/>
          <w:b/>
          <w:color w:val="231F20"/>
        </w:rPr>
        <w:t xml:space="preserve">best interests of the Company and shareholders as a whole. Accordingly, the Non-Executive joint Chairmen of Ridgecrest unanimously recommend that you vote </w:t>
      </w:r>
      <w:r w:rsidRPr="00473D25">
        <w:rPr>
          <w:rFonts w:cstheme="minorHAnsi"/>
          <w:b/>
          <w:color w:val="231F20"/>
          <w:u w:val="single"/>
        </w:rPr>
        <w:t>AGAINST</w:t>
      </w:r>
      <w:r w:rsidRPr="00473D25">
        <w:rPr>
          <w:rFonts w:cstheme="minorHAnsi"/>
          <w:b/>
          <w:color w:val="231F20"/>
        </w:rPr>
        <w:t xml:space="preserve"> the resolutions to be proposed at the General </w:t>
      </w:r>
      <w:r w:rsidRPr="00473D25">
        <w:rPr>
          <w:rFonts w:cstheme="minorHAnsi"/>
          <w:b/>
          <w:color w:val="231F20"/>
          <w:spacing w:val="-2"/>
        </w:rPr>
        <w:t>Meeting.</w:t>
      </w:r>
    </w:p>
    <w:p w14:paraId="030BCEE4" w14:textId="08BFE5D9" w:rsidR="00F432B2" w:rsidRPr="00473D25" w:rsidRDefault="00F432B2" w:rsidP="00473D25">
      <w:pPr>
        <w:spacing w:before="119"/>
        <w:ind w:left="279"/>
        <w:jc w:val="both"/>
      </w:pPr>
      <w:r w:rsidRPr="00473D25">
        <w:rPr>
          <w:rFonts w:cstheme="minorHAnsi"/>
          <w:color w:val="231F20"/>
        </w:rPr>
        <w:t>Yours</w:t>
      </w:r>
      <w:r w:rsidRPr="00473D25">
        <w:rPr>
          <w:rFonts w:cstheme="minorHAnsi"/>
          <w:color w:val="231F20"/>
          <w:spacing w:val="-5"/>
        </w:rPr>
        <w:t xml:space="preserve"> </w:t>
      </w:r>
      <w:r w:rsidRPr="00473D25">
        <w:rPr>
          <w:rFonts w:cstheme="minorHAnsi"/>
          <w:color w:val="231F20"/>
          <w:spacing w:val="-2"/>
        </w:rPr>
        <w:t>faithfully,</w:t>
      </w:r>
    </w:p>
    <w:p w14:paraId="770CBC65" w14:textId="77777777" w:rsidR="00F432B2" w:rsidRPr="00473D25" w:rsidRDefault="00F432B2" w:rsidP="00F432B2">
      <w:pPr>
        <w:pStyle w:val="Heading2"/>
        <w:tabs>
          <w:tab w:val="left" w:pos="2439"/>
        </w:tabs>
        <w:spacing w:before="1"/>
        <w:rPr>
          <w:rFonts w:asciiTheme="minorHAnsi" w:hAnsiTheme="minorHAnsi" w:cstheme="minorHAnsi"/>
          <w:sz w:val="22"/>
          <w:szCs w:val="22"/>
        </w:rPr>
      </w:pPr>
      <w:r w:rsidRPr="00473D25">
        <w:rPr>
          <w:rFonts w:asciiTheme="minorHAnsi" w:hAnsiTheme="minorHAnsi" w:cstheme="minorHAnsi"/>
          <w:color w:val="231F20"/>
          <w:sz w:val="22"/>
          <w:szCs w:val="22"/>
        </w:rPr>
        <w:t>Philip</w:t>
      </w:r>
      <w:r w:rsidRPr="00473D25">
        <w:rPr>
          <w:rFonts w:asciiTheme="minorHAnsi" w:hAnsiTheme="minorHAnsi" w:cstheme="minorHAnsi"/>
          <w:color w:val="231F20"/>
          <w:spacing w:val="-7"/>
          <w:sz w:val="22"/>
          <w:szCs w:val="22"/>
        </w:rPr>
        <w:t xml:space="preserve"> </w:t>
      </w:r>
      <w:r w:rsidRPr="00473D25">
        <w:rPr>
          <w:rFonts w:asciiTheme="minorHAnsi" w:hAnsiTheme="minorHAnsi" w:cstheme="minorHAnsi"/>
          <w:color w:val="231F20"/>
          <w:spacing w:val="-4"/>
          <w:sz w:val="22"/>
          <w:szCs w:val="22"/>
        </w:rPr>
        <w:t>Holt</w:t>
      </w:r>
      <w:r w:rsidRPr="00473D25">
        <w:rPr>
          <w:rFonts w:asciiTheme="minorHAnsi" w:hAnsiTheme="minorHAnsi" w:cstheme="minorHAnsi"/>
          <w:color w:val="231F20"/>
          <w:sz w:val="22"/>
          <w:szCs w:val="22"/>
        </w:rPr>
        <w:tab/>
        <w:t>James</w:t>
      </w:r>
      <w:r w:rsidRPr="00473D25">
        <w:rPr>
          <w:rFonts w:asciiTheme="minorHAnsi" w:hAnsiTheme="minorHAnsi" w:cstheme="minorHAnsi"/>
          <w:color w:val="231F20"/>
          <w:spacing w:val="-7"/>
          <w:sz w:val="22"/>
          <w:szCs w:val="22"/>
        </w:rPr>
        <w:t xml:space="preserve"> </w:t>
      </w:r>
      <w:r w:rsidRPr="00473D25">
        <w:rPr>
          <w:rFonts w:asciiTheme="minorHAnsi" w:hAnsiTheme="minorHAnsi" w:cstheme="minorHAnsi"/>
          <w:color w:val="231F20"/>
          <w:spacing w:val="-2"/>
          <w:sz w:val="22"/>
          <w:szCs w:val="22"/>
        </w:rPr>
        <w:t>Normand</w:t>
      </w:r>
    </w:p>
    <w:p w14:paraId="41D27763" w14:textId="77777777" w:rsidR="00F432B2" w:rsidRPr="00473D25" w:rsidRDefault="00F432B2" w:rsidP="00F432B2">
      <w:pPr>
        <w:ind w:left="279"/>
        <w:jc w:val="both"/>
        <w:rPr>
          <w:rFonts w:cstheme="minorHAnsi"/>
          <w:i/>
        </w:rPr>
      </w:pPr>
      <w:r w:rsidRPr="00473D25">
        <w:rPr>
          <w:rFonts w:cstheme="minorHAnsi"/>
          <w:i/>
          <w:color w:val="231F20"/>
        </w:rPr>
        <w:t>Non-Executive</w:t>
      </w:r>
      <w:r w:rsidRPr="00473D25">
        <w:rPr>
          <w:rFonts w:cstheme="minorHAnsi"/>
          <w:i/>
          <w:color w:val="231F20"/>
          <w:spacing w:val="-10"/>
        </w:rPr>
        <w:t xml:space="preserve"> </w:t>
      </w:r>
      <w:r w:rsidRPr="00473D25">
        <w:rPr>
          <w:rFonts w:cstheme="minorHAnsi"/>
          <w:i/>
          <w:color w:val="231F20"/>
        </w:rPr>
        <w:t>Joint</w:t>
      </w:r>
      <w:r w:rsidRPr="00473D25">
        <w:rPr>
          <w:rFonts w:cstheme="minorHAnsi"/>
          <w:i/>
          <w:color w:val="231F20"/>
          <w:spacing w:val="-10"/>
        </w:rPr>
        <w:t xml:space="preserve"> </w:t>
      </w:r>
      <w:r w:rsidRPr="00473D25">
        <w:rPr>
          <w:rFonts w:cstheme="minorHAnsi"/>
          <w:i/>
          <w:color w:val="231F20"/>
          <w:spacing w:val="-2"/>
        </w:rPr>
        <w:t>Chairmen</w:t>
      </w:r>
    </w:p>
    <w:p w14:paraId="6D23FBFE" w14:textId="44D21406" w:rsidR="00831FA9" w:rsidRPr="00EA718E" w:rsidRDefault="00831FA9" w:rsidP="00457CA9">
      <w:pPr>
        <w:pStyle w:val="aa"/>
        <w:shd w:val="clear" w:color="auto" w:fill="FFFFFF"/>
        <w:spacing w:before="0" w:beforeAutospacing="0" w:after="0" w:afterAutospacing="0"/>
        <w:jc w:val="both"/>
        <w:rPr>
          <w:rFonts w:asciiTheme="minorHAnsi" w:hAnsiTheme="minorHAnsi" w:cstheme="minorHAnsi"/>
          <w:color w:val="000000"/>
          <w:sz w:val="22"/>
          <w:szCs w:val="22"/>
        </w:rPr>
      </w:pPr>
    </w:p>
    <w:p w14:paraId="78D8C4E3" w14:textId="77777777" w:rsidR="005E4B85" w:rsidRPr="00EA718E" w:rsidRDefault="005E4B85" w:rsidP="00457CA9">
      <w:pPr>
        <w:pStyle w:val="aa"/>
        <w:shd w:val="clear" w:color="auto" w:fill="FFFFFF"/>
        <w:spacing w:before="0" w:beforeAutospacing="0" w:after="0" w:afterAutospacing="0"/>
        <w:jc w:val="both"/>
        <w:rPr>
          <w:rFonts w:asciiTheme="minorHAnsi" w:hAnsiTheme="minorHAnsi" w:cstheme="minorHAnsi"/>
          <w:color w:val="000000"/>
          <w:sz w:val="22"/>
          <w:szCs w:val="22"/>
        </w:rPr>
      </w:pPr>
    </w:p>
    <w:p w14:paraId="17DD1A2C" w14:textId="77777777" w:rsidR="00831FA9" w:rsidRPr="00EA718E" w:rsidRDefault="00831FA9" w:rsidP="00DD1B67">
      <w:pPr>
        <w:pStyle w:val="aa"/>
        <w:shd w:val="clear" w:color="auto" w:fill="FFFFFF"/>
        <w:spacing w:before="0" w:beforeAutospacing="0" w:after="0" w:afterAutospacing="0"/>
        <w:jc w:val="both"/>
        <w:rPr>
          <w:rFonts w:asciiTheme="minorHAnsi" w:hAnsiTheme="minorHAnsi" w:cstheme="minorHAnsi"/>
          <w:color w:val="000000"/>
          <w:sz w:val="22"/>
          <w:szCs w:val="22"/>
        </w:rPr>
      </w:pPr>
    </w:p>
    <w:sectPr w:rsidR="00831FA9" w:rsidRPr="00EA71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14D64"/>
    <w:multiLevelType w:val="hybridMultilevel"/>
    <w:tmpl w:val="971A4522"/>
    <w:lvl w:ilvl="0" w:tplc="8CF05A0C">
      <w:numFmt w:val="bullet"/>
      <w:lvlText w:val="•"/>
      <w:lvlJc w:val="left"/>
      <w:pPr>
        <w:ind w:left="1115" w:hanging="361"/>
      </w:pPr>
      <w:rPr>
        <w:rFonts w:ascii="Arial" w:eastAsia="Arial" w:hAnsi="Arial" w:cs="Arial" w:hint="default"/>
        <w:b w:val="0"/>
        <w:bCs w:val="0"/>
        <w:i w:val="0"/>
        <w:iCs w:val="0"/>
        <w:color w:val="231F20"/>
        <w:spacing w:val="0"/>
        <w:w w:val="132"/>
        <w:sz w:val="20"/>
        <w:szCs w:val="20"/>
        <w:lang w:val="en-US" w:eastAsia="en-US" w:bidi="ar-SA"/>
      </w:rPr>
    </w:lvl>
    <w:lvl w:ilvl="1" w:tplc="FB86E53A">
      <w:numFmt w:val="bullet"/>
      <w:lvlText w:val="•"/>
      <w:lvlJc w:val="left"/>
      <w:pPr>
        <w:ind w:left="1994" w:hanging="361"/>
      </w:pPr>
      <w:rPr>
        <w:rFonts w:hint="default"/>
        <w:lang w:val="en-US" w:eastAsia="en-US" w:bidi="ar-SA"/>
      </w:rPr>
    </w:lvl>
    <w:lvl w:ilvl="2" w:tplc="71BA5B0E">
      <w:numFmt w:val="bullet"/>
      <w:lvlText w:val="•"/>
      <w:lvlJc w:val="left"/>
      <w:pPr>
        <w:ind w:left="2869" w:hanging="361"/>
      </w:pPr>
      <w:rPr>
        <w:rFonts w:hint="default"/>
        <w:lang w:val="en-US" w:eastAsia="en-US" w:bidi="ar-SA"/>
      </w:rPr>
    </w:lvl>
    <w:lvl w:ilvl="3" w:tplc="855801C6">
      <w:numFmt w:val="bullet"/>
      <w:lvlText w:val="•"/>
      <w:lvlJc w:val="left"/>
      <w:pPr>
        <w:ind w:left="3743" w:hanging="361"/>
      </w:pPr>
      <w:rPr>
        <w:rFonts w:hint="default"/>
        <w:lang w:val="en-US" w:eastAsia="en-US" w:bidi="ar-SA"/>
      </w:rPr>
    </w:lvl>
    <w:lvl w:ilvl="4" w:tplc="6E80AD48">
      <w:numFmt w:val="bullet"/>
      <w:lvlText w:val="•"/>
      <w:lvlJc w:val="left"/>
      <w:pPr>
        <w:ind w:left="4618" w:hanging="361"/>
      </w:pPr>
      <w:rPr>
        <w:rFonts w:hint="default"/>
        <w:lang w:val="en-US" w:eastAsia="en-US" w:bidi="ar-SA"/>
      </w:rPr>
    </w:lvl>
    <w:lvl w:ilvl="5" w:tplc="114A9BA4">
      <w:numFmt w:val="bullet"/>
      <w:lvlText w:val="•"/>
      <w:lvlJc w:val="left"/>
      <w:pPr>
        <w:ind w:left="5492" w:hanging="361"/>
      </w:pPr>
      <w:rPr>
        <w:rFonts w:hint="default"/>
        <w:lang w:val="en-US" w:eastAsia="en-US" w:bidi="ar-SA"/>
      </w:rPr>
    </w:lvl>
    <w:lvl w:ilvl="6" w:tplc="538A5DC6">
      <w:numFmt w:val="bullet"/>
      <w:lvlText w:val="•"/>
      <w:lvlJc w:val="left"/>
      <w:pPr>
        <w:ind w:left="6367" w:hanging="361"/>
      </w:pPr>
      <w:rPr>
        <w:rFonts w:hint="default"/>
        <w:lang w:val="en-US" w:eastAsia="en-US" w:bidi="ar-SA"/>
      </w:rPr>
    </w:lvl>
    <w:lvl w:ilvl="7" w:tplc="D99E2F5A">
      <w:numFmt w:val="bullet"/>
      <w:lvlText w:val="•"/>
      <w:lvlJc w:val="left"/>
      <w:pPr>
        <w:ind w:left="7241" w:hanging="361"/>
      </w:pPr>
      <w:rPr>
        <w:rFonts w:hint="default"/>
        <w:lang w:val="en-US" w:eastAsia="en-US" w:bidi="ar-SA"/>
      </w:rPr>
    </w:lvl>
    <w:lvl w:ilvl="8" w:tplc="18946D18">
      <w:numFmt w:val="bullet"/>
      <w:lvlText w:val="•"/>
      <w:lvlJc w:val="left"/>
      <w:pPr>
        <w:ind w:left="8116" w:hanging="361"/>
      </w:pPr>
      <w:rPr>
        <w:rFonts w:hint="default"/>
        <w:lang w:val="en-US" w:eastAsia="en-US" w:bidi="ar-SA"/>
      </w:rPr>
    </w:lvl>
  </w:abstractNum>
  <w:abstractNum w:abstractNumId="1" w15:restartNumberingAfterBreak="0">
    <w:nsid w:val="154A7574"/>
    <w:multiLevelType w:val="hybridMultilevel"/>
    <w:tmpl w:val="0C5C8C32"/>
    <w:lvl w:ilvl="0" w:tplc="81540BB2">
      <w:start w:val="1"/>
      <w:numFmt w:val="lowerLetter"/>
      <w:lvlText w:val="%1)"/>
      <w:lvlJc w:val="left"/>
      <w:pPr>
        <w:ind w:left="755" w:hanging="360"/>
      </w:pPr>
      <w:rPr>
        <w:rFonts w:hint="default"/>
      </w:rPr>
    </w:lvl>
    <w:lvl w:ilvl="1" w:tplc="08090019" w:tentative="1">
      <w:start w:val="1"/>
      <w:numFmt w:val="lowerLetter"/>
      <w:lvlText w:val="%2."/>
      <w:lvlJc w:val="left"/>
      <w:pPr>
        <w:ind w:left="1475" w:hanging="360"/>
      </w:pPr>
    </w:lvl>
    <w:lvl w:ilvl="2" w:tplc="0809001B" w:tentative="1">
      <w:start w:val="1"/>
      <w:numFmt w:val="lowerRoman"/>
      <w:lvlText w:val="%3."/>
      <w:lvlJc w:val="right"/>
      <w:pPr>
        <w:ind w:left="2195" w:hanging="180"/>
      </w:pPr>
    </w:lvl>
    <w:lvl w:ilvl="3" w:tplc="0809000F" w:tentative="1">
      <w:start w:val="1"/>
      <w:numFmt w:val="decimal"/>
      <w:lvlText w:val="%4."/>
      <w:lvlJc w:val="left"/>
      <w:pPr>
        <w:ind w:left="2915" w:hanging="360"/>
      </w:pPr>
    </w:lvl>
    <w:lvl w:ilvl="4" w:tplc="08090019" w:tentative="1">
      <w:start w:val="1"/>
      <w:numFmt w:val="lowerLetter"/>
      <w:lvlText w:val="%5."/>
      <w:lvlJc w:val="left"/>
      <w:pPr>
        <w:ind w:left="3635" w:hanging="360"/>
      </w:pPr>
    </w:lvl>
    <w:lvl w:ilvl="5" w:tplc="0809001B" w:tentative="1">
      <w:start w:val="1"/>
      <w:numFmt w:val="lowerRoman"/>
      <w:lvlText w:val="%6."/>
      <w:lvlJc w:val="right"/>
      <w:pPr>
        <w:ind w:left="4355" w:hanging="180"/>
      </w:pPr>
    </w:lvl>
    <w:lvl w:ilvl="6" w:tplc="0809000F" w:tentative="1">
      <w:start w:val="1"/>
      <w:numFmt w:val="decimal"/>
      <w:lvlText w:val="%7."/>
      <w:lvlJc w:val="left"/>
      <w:pPr>
        <w:ind w:left="5075" w:hanging="360"/>
      </w:pPr>
    </w:lvl>
    <w:lvl w:ilvl="7" w:tplc="08090019" w:tentative="1">
      <w:start w:val="1"/>
      <w:numFmt w:val="lowerLetter"/>
      <w:lvlText w:val="%8."/>
      <w:lvlJc w:val="left"/>
      <w:pPr>
        <w:ind w:left="5795" w:hanging="360"/>
      </w:pPr>
    </w:lvl>
    <w:lvl w:ilvl="8" w:tplc="0809001B" w:tentative="1">
      <w:start w:val="1"/>
      <w:numFmt w:val="lowerRoman"/>
      <w:lvlText w:val="%9."/>
      <w:lvlJc w:val="right"/>
      <w:pPr>
        <w:ind w:left="6515" w:hanging="180"/>
      </w:pPr>
    </w:lvl>
  </w:abstractNum>
  <w:num w:numId="1" w16cid:durableId="206570148">
    <w:abstractNumId w:val="0"/>
  </w:num>
  <w:num w:numId="2" w16cid:durableId="1945918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9F5"/>
    <w:rsid w:val="000819E5"/>
    <w:rsid w:val="00093F70"/>
    <w:rsid w:val="000943CE"/>
    <w:rsid w:val="000970E5"/>
    <w:rsid w:val="000D57C8"/>
    <w:rsid w:val="000E44C6"/>
    <w:rsid w:val="000F5CEA"/>
    <w:rsid w:val="00117025"/>
    <w:rsid w:val="00133146"/>
    <w:rsid w:val="00177A22"/>
    <w:rsid w:val="001E6544"/>
    <w:rsid w:val="001F7BBF"/>
    <w:rsid w:val="002020A7"/>
    <w:rsid w:val="00212956"/>
    <w:rsid w:val="00265D95"/>
    <w:rsid w:val="002F7414"/>
    <w:rsid w:val="00301A1F"/>
    <w:rsid w:val="003120EB"/>
    <w:rsid w:val="003D79F8"/>
    <w:rsid w:val="00405AEC"/>
    <w:rsid w:val="0041497C"/>
    <w:rsid w:val="00457CA9"/>
    <w:rsid w:val="00473D25"/>
    <w:rsid w:val="004809B5"/>
    <w:rsid w:val="00497B21"/>
    <w:rsid w:val="004E6458"/>
    <w:rsid w:val="00522A70"/>
    <w:rsid w:val="00526F61"/>
    <w:rsid w:val="005521AA"/>
    <w:rsid w:val="00560781"/>
    <w:rsid w:val="005A6FEB"/>
    <w:rsid w:val="005C4936"/>
    <w:rsid w:val="005E0FF7"/>
    <w:rsid w:val="005E4B85"/>
    <w:rsid w:val="00611D07"/>
    <w:rsid w:val="00624699"/>
    <w:rsid w:val="006627A0"/>
    <w:rsid w:val="00670F7E"/>
    <w:rsid w:val="00671379"/>
    <w:rsid w:val="0067203B"/>
    <w:rsid w:val="00673AB7"/>
    <w:rsid w:val="00696CD2"/>
    <w:rsid w:val="006A6E62"/>
    <w:rsid w:val="006C55CB"/>
    <w:rsid w:val="006E3775"/>
    <w:rsid w:val="00737A78"/>
    <w:rsid w:val="007679CA"/>
    <w:rsid w:val="007769BD"/>
    <w:rsid w:val="007A5D7E"/>
    <w:rsid w:val="007A5F58"/>
    <w:rsid w:val="007C61D2"/>
    <w:rsid w:val="007D4215"/>
    <w:rsid w:val="007F6ADB"/>
    <w:rsid w:val="0080373B"/>
    <w:rsid w:val="00805265"/>
    <w:rsid w:val="00831FA9"/>
    <w:rsid w:val="008415C9"/>
    <w:rsid w:val="008649F5"/>
    <w:rsid w:val="008E12B5"/>
    <w:rsid w:val="008F5C01"/>
    <w:rsid w:val="00900170"/>
    <w:rsid w:val="009137CC"/>
    <w:rsid w:val="00921D47"/>
    <w:rsid w:val="00924F8E"/>
    <w:rsid w:val="00940163"/>
    <w:rsid w:val="00950161"/>
    <w:rsid w:val="009502D3"/>
    <w:rsid w:val="00982E5F"/>
    <w:rsid w:val="0099286F"/>
    <w:rsid w:val="009A5A29"/>
    <w:rsid w:val="009C1F3C"/>
    <w:rsid w:val="009D381C"/>
    <w:rsid w:val="009F538B"/>
    <w:rsid w:val="00A00018"/>
    <w:rsid w:val="00A07539"/>
    <w:rsid w:val="00A31CCB"/>
    <w:rsid w:val="00A866B4"/>
    <w:rsid w:val="00AD06F5"/>
    <w:rsid w:val="00AD0FE5"/>
    <w:rsid w:val="00AD13F2"/>
    <w:rsid w:val="00AE3E05"/>
    <w:rsid w:val="00BC4520"/>
    <w:rsid w:val="00BD3752"/>
    <w:rsid w:val="00BE7C55"/>
    <w:rsid w:val="00C658A5"/>
    <w:rsid w:val="00C778FE"/>
    <w:rsid w:val="00D47ABF"/>
    <w:rsid w:val="00D94C73"/>
    <w:rsid w:val="00DB631C"/>
    <w:rsid w:val="00DD1B67"/>
    <w:rsid w:val="00DD45EA"/>
    <w:rsid w:val="00DE246F"/>
    <w:rsid w:val="00E049A0"/>
    <w:rsid w:val="00E638F6"/>
    <w:rsid w:val="00E671ED"/>
    <w:rsid w:val="00EA718E"/>
    <w:rsid w:val="00F04A13"/>
    <w:rsid w:val="00F105F9"/>
    <w:rsid w:val="00F20B37"/>
    <w:rsid w:val="00F4162D"/>
    <w:rsid w:val="00F432B2"/>
    <w:rsid w:val="00F44D20"/>
    <w:rsid w:val="00F55D55"/>
    <w:rsid w:val="00F75F23"/>
    <w:rsid w:val="00FE59E2"/>
    <w:rsid w:val="00FF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B0B39"/>
  <w15:chartTrackingRefBased/>
  <w15:docId w15:val="{8EE473FB-0AB4-4504-A065-7681794F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F432B2"/>
    <w:pPr>
      <w:widowControl w:val="0"/>
      <w:autoSpaceDE w:val="0"/>
      <w:autoSpaceDN w:val="0"/>
      <w:spacing w:after="0" w:line="240" w:lineRule="auto"/>
      <w:ind w:left="279"/>
      <w:jc w:val="both"/>
      <w:outlineLvl w:val="1"/>
    </w:pPr>
    <w:rPr>
      <w:rFonts w:ascii="Arial" w:eastAsia="Arial" w:hAnsi="Arial" w:cs="Arial"/>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
    <w:name w:val="aa"/>
    <w:basedOn w:val="Normal"/>
    <w:rsid w:val="00DD45E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z">
    <w:name w:val="z"/>
    <w:basedOn w:val="Normal"/>
    <w:rsid w:val="00831FA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s">
    <w:name w:val="s"/>
    <w:basedOn w:val="DefaultParagraphFont"/>
    <w:rsid w:val="00831FA9"/>
  </w:style>
  <w:style w:type="character" w:customStyle="1" w:styleId="q">
    <w:name w:val="q"/>
    <w:basedOn w:val="DefaultParagraphFont"/>
    <w:rsid w:val="00831FA9"/>
  </w:style>
  <w:style w:type="character" w:styleId="Hyperlink">
    <w:name w:val="Hyperlink"/>
    <w:basedOn w:val="DefaultParagraphFont"/>
    <w:uiPriority w:val="99"/>
    <w:unhideWhenUsed/>
    <w:rsid w:val="00831FA9"/>
    <w:rPr>
      <w:color w:val="0000FF"/>
      <w:u w:val="single"/>
    </w:rPr>
  </w:style>
  <w:style w:type="character" w:customStyle="1" w:styleId="n">
    <w:name w:val="n"/>
    <w:basedOn w:val="DefaultParagraphFont"/>
    <w:rsid w:val="00831FA9"/>
  </w:style>
  <w:style w:type="character" w:customStyle="1" w:styleId="v">
    <w:name w:val="v"/>
    <w:basedOn w:val="DefaultParagraphFont"/>
    <w:rsid w:val="00950161"/>
  </w:style>
  <w:style w:type="character" w:customStyle="1" w:styleId="u">
    <w:name w:val="u"/>
    <w:basedOn w:val="DefaultParagraphFont"/>
    <w:rsid w:val="00950161"/>
  </w:style>
  <w:style w:type="paragraph" w:styleId="Revision">
    <w:name w:val="Revision"/>
    <w:hidden/>
    <w:uiPriority w:val="99"/>
    <w:semiHidden/>
    <w:rsid w:val="00940163"/>
    <w:pPr>
      <w:spacing w:after="0" w:line="240" w:lineRule="auto"/>
    </w:pPr>
  </w:style>
  <w:style w:type="character" w:styleId="CommentReference">
    <w:name w:val="annotation reference"/>
    <w:basedOn w:val="DefaultParagraphFont"/>
    <w:uiPriority w:val="99"/>
    <w:semiHidden/>
    <w:unhideWhenUsed/>
    <w:rsid w:val="000970E5"/>
    <w:rPr>
      <w:sz w:val="16"/>
      <w:szCs w:val="16"/>
    </w:rPr>
  </w:style>
  <w:style w:type="paragraph" w:styleId="CommentText">
    <w:name w:val="annotation text"/>
    <w:basedOn w:val="Normal"/>
    <w:link w:val="CommentTextChar"/>
    <w:uiPriority w:val="99"/>
    <w:unhideWhenUsed/>
    <w:rsid w:val="000970E5"/>
    <w:pPr>
      <w:spacing w:line="240" w:lineRule="auto"/>
    </w:pPr>
    <w:rPr>
      <w:sz w:val="20"/>
      <w:szCs w:val="20"/>
    </w:rPr>
  </w:style>
  <w:style w:type="character" w:customStyle="1" w:styleId="CommentTextChar">
    <w:name w:val="Comment Text Char"/>
    <w:basedOn w:val="DefaultParagraphFont"/>
    <w:link w:val="CommentText"/>
    <w:uiPriority w:val="99"/>
    <w:rsid w:val="000970E5"/>
    <w:rPr>
      <w:sz w:val="20"/>
      <w:szCs w:val="20"/>
    </w:rPr>
  </w:style>
  <w:style w:type="paragraph" w:styleId="CommentSubject">
    <w:name w:val="annotation subject"/>
    <w:basedOn w:val="CommentText"/>
    <w:next w:val="CommentText"/>
    <w:link w:val="CommentSubjectChar"/>
    <w:uiPriority w:val="99"/>
    <w:semiHidden/>
    <w:unhideWhenUsed/>
    <w:rsid w:val="000970E5"/>
    <w:rPr>
      <w:b/>
      <w:bCs/>
    </w:rPr>
  </w:style>
  <w:style w:type="character" w:customStyle="1" w:styleId="CommentSubjectChar">
    <w:name w:val="Comment Subject Char"/>
    <w:basedOn w:val="CommentTextChar"/>
    <w:link w:val="CommentSubject"/>
    <w:uiPriority w:val="99"/>
    <w:semiHidden/>
    <w:rsid w:val="000970E5"/>
    <w:rPr>
      <w:b/>
      <w:bCs/>
      <w:sz w:val="20"/>
      <w:szCs w:val="20"/>
    </w:rPr>
  </w:style>
  <w:style w:type="character" w:customStyle="1" w:styleId="Heading2Char">
    <w:name w:val="Heading 2 Char"/>
    <w:basedOn w:val="DefaultParagraphFont"/>
    <w:link w:val="Heading2"/>
    <w:uiPriority w:val="9"/>
    <w:rsid w:val="00F432B2"/>
    <w:rPr>
      <w:rFonts w:ascii="Arial" w:eastAsia="Arial" w:hAnsi="Arial" w:cs="Arial"/>
      <w:b/>
      <w:bCs/>
      <w:kern w:val="0"/>
      <w:sz w:val="20"/>
      <w:szCs w:val="20"/>
      <w14:ligatures w14:val="none"/>
    </w:rPr>
  </w:style>
  <w:style w:type="paragraph" w:styleId="BodyText">
    <w:name w:val="Body Text"/>
    <w:basedOn w:val="Normal"/>
    <w:link w:val="BodyTextChar"/>
    <w:uiPriority w:val="1"/>
    <w:qFormat/>
    <w:rsid w:val="00F432B2"/>
    <w:pPr>
      <w:widowControl w:val="0"/>
      <w:autoSpaceDE w:val="0"/>
      <w:autoSpaceDN w:val="0"/>
      <w:spacing w:after="0" w:line="240" w:lineRule="auto"/>
    </w:pPr>
    <w:rPr>
      <w:rFonts w:ascii="Arial" w:eastAsia="Arial" w:hAnsi="Arial" w:cs="Arial"/>
      <w:kern w:val="0"/>
      <w:sz w:val="16"/>
      <w:szCs w:val="16"/>
      <w14:ligatures w14:val="none"/>
    </w:rPr>
  </w:style>
  <w:style w:type="character" w:customStyle="1" w:styleId="BodyTextChar">
    <w:name w:val="Body Text Char"/>
    <w:basedOn w:val="DefaultParagraphFont"/>
    <w:link w:val="BodyText"/>
    <w:uiPriority w:val="1"/>
    <w:rsid w:val="00F432B2"/>
    <w:rPr>
      <w:rFonts w:ascii="Arial" w:eastAsia="Arial" w:hAnsi="Arial" w:cs="Arial"/>
      <w:kern w:val="0"/>
      <w:sz w:val="16"/>
      <w:szCs w:val="16"/>
      <w14:ligatures w14:val="none"/>
    </w:rPr>
  </w:style>
  <w:style w:type="paragraph" w:styleId="ListParagraph">
    <w:name w:val="List Paragraph"/>
    <w:basedOn w:val="Normal"/>
    <w:uiPriority w:val="1"/>
    <w:qFormat/>
    <w:rsid w:val="00F432B2"/>
    <w:pPr>
      <w:widowControl w:val="0"/>
      <w:autoSpaceDE w:val="0"/>
      <w:autoSpaceDN w:val="0"/>
      <w:spacing w:after="0" w:line="240" w:lineRule="auto"/>
      <w:ind w:left="708" w:hanging="480"/>
      <w:jc w:val="both"/>
    </w:pPr>
    <w:rPr>
      <w:rFonts w:ascii="Arial" w:eastAsia="Arial" w:hAnsi="Arial" w:cs="Arial"/>
      <w:kern w:val="0"/>
      <w14:ligatures w14:val="none"/>
    </w:rPr>
  </w:style>
  <w:style w:type="character" w:styleId="UnresolvedMention">
    <w:name w:val="Unresolved Mention"/>
    <w:basedOn w:val="DefaultParagraphFont"/>
    <w:uiPriority w:val="99"/>
    <w:semiHidden/>
    <w:unhideWhenUsed/>
    <w:rsid w:val="00BE7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818850">
      <w:bodyDiv w:val="1"/>
      <w:marLeft w:val="0"/>
      <w:marRight w:val="0"/>
      <w:marTop w:val="0"/>
      <w:marBottom w:val="0"/>
      <w:divBdr>
        <w:top w:val="none" w:sz="0" w:space="0" w:color="auto"/>
        <w:left w:val="none" w:sz="0" w:space="0" w:color="auto"/>
        <w:bottom w:val="none" w:sz="0" w:space="0" w:color="auto"/>
        <w:right w:val="none" w:sz="0" w:space="0" w:color="auto"/>
      </w:divBdr>
    </w:div>
    <w:div w:id="204435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dgecrestplc.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allenbycapital.com/" TargetMode="External"/><Relationship Id="rId4" Type="http://schemas.openxmlformats.org/officeDocument/2006/relationships/numbering" Target="numbering.xml"/><Relationship Id="rId9" Type="http://schemas.openxmlformats.org/officeDocument/2006/relationships/hyperlink" Target="http://www.ridgecrestp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C7B911F907344CBA8B01A70642EC54" ma:contentTypeVersion="23" ma:contentTypeDescription="Create a new document." ma:contentTypeScope="" ma:versionID="bd0d396cf83db61f6280a9d5c5d81e01">
  <xsd:schema xmlns:xsd="http://www.w3.org/2001/XMLSchema" xmlns:xs="http://www.w3.org/2001/XMLSchema" xmlns:p="http://schemas.microsoft.com/office/2006/metadata/properties" xmlns:ns1="http://schemas.microsoft.com/sharepoint/v3" xmlns:ns2="408f9518-7230-4f9b-ad14-69b2885d9a49" xmlns:ns3="8700505b-58b0-4025-b1b1-49349b622e8b" targetNamespace="http://schemas.microsoft.com/office/2006/metadata/properties" ma:root="true" ma:fieldsID="920f6c978d0ceafdd04ae60a688158bb" ns1:_="" ns2:_="" ns3:_="">
    <xsd:import namespace="http://schemas.microsoft.com/sharepoint/v3"/>
    <xsd:import namespace="408f9518-7230-4f9b-ad14-69b2885d9a49"/>
    <xsd:import namespace="8700505b-58b0-4025-b1b1-49349b622e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dlc_ExpireDateSaved" minOccurs="0"/>
                <xsd:element ref="ns1:_dlc_ExpireDate" minOccurs="0"/>
                <xsd:element ref="ns1:_dlc_Exempt"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element name="_dlc_Exempt" ma:index="18" nillable="true" ma:displayName="Exempt from Policy" ma:hidden="true" ma:internalName="_dlc_Exempt" ma:readOnly="true">
      <xsd:simpleType>
        <xsd:restriction base="dms:Unknown"/>
      </xsd:simpleType>
    </xsd:element>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f9518-7230-4f9b-ad14-69b2885d9a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238613cf-dcbd-4d1f-a98a-ac1dab320160}" ma:internalName="TaxCatchAll" ma:showField="CatchAllData" ma:web="408f9518-7230-4f9b-ad14-69b2885d9a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00505b-58b0-4025-b1b1-49349b622e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447db20a-6f9b-4f44-af6c-da7c85cf1e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00505b-58b0-4025-b1b1-49349b622e8b">
      <Terms xmlns="http://schemas.microsoft.com/office/infopath/2007/PartnerControls"/>
    </lcf76f155ced4ddcb4097134ff3c332f>
    <TaxCatchAll xmlns="408f9518-7230-4f9b-ad14-69b2885d9a49" xsi:nil="true"/>
    <_dlc_ExpireDateSaved xmlns="http://schemas.microsoft.com/sharepoint/v3" xsi:nil="true"/>
    <_dlc_ExpireDate xmlns="http://schemas.microsoft.com/sharepoint/v3">2099-04-20T19:07:32+00:00</_dlc_ExpireDat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7DE0ABC-E296-4F13-80D7-E658F61A6430}">
  <ds:schemaRefs>
    <ds:schemaRef ds:uri="http://schemas.microsoft.com/sharepoint/v3/contenttype/forms"/>
  </ds:schemaRefs>
</ds:datastoreItem>
</file>

<file path=customXml/itemProps2.xml><?xml version="1.0" encoding="utf-8"?>
<ds:datastoreItem xmlns:ds="http://schemas.openxmlformats.org/officeDocument/2006/customXml" ds:itemID="{28436C6D-E7EB-41BC-B0E5-6883BB95A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8f9518-7230-4f9b-ad14-69b2885d9a49"/>
    <ds:schemaRef ds:uri="8700505b-58b0-4025-b1b1-49349b622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E7410E-FEC1-44E5-B011-62F8303B9027}">
  <ds:schemaRefs>
    <ds:schemaRef ds:uri="http://schemas.microsoft.com/office/2006/metadata/properties"/>
    <ds:schemaRef ds:uri="http://schemas.microsoft.com/office/infopath/2007/PartnerControls"/>
    <ds:schemaRef ds:uri="8700505b-58b0-4025-b1b1-49349b622e8b"/>
    <ds:schemaRef ds:uri="408f9518-7230-4f9b-ad14-69b2885d9a4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Kirchner</dc:creator>
  <cp:keywords/>
  <dc:description/>
  <cp:lastModifiedBy>Liz Kirchner</cp:lastModifiedBy>
  <cp:revision>29</cp:revision>
  <dcterms:created xsi:type="dcterms:W3CDTF">2024-03-07T18:06:00Z</dcterms:created>
  <dcterms:modified xsi:type="dcterms:W3CDTF">2024-04-20T19:07:00Z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/sites/CompanyData/Shared Documents</vt:lpwstr>
  </property>
  <property fmtid="{D5CDD505-2E9C-101B-9397-08002B2CF9AE}" pid="3" name="MediaServiceImageTags">
    <vt:lpwstr/>
  </property>
  <property fmtid="{D5CDD505-2E9C-101B-9397-08002B2CF9AE}" pid="4" name="ContentTypeId">
    <vt:lpwstr>0x010100E8C7B911F907344CBA8B01A70642EC54</vt:lpwstr>
  </property>
  <property fmtid="{D5CDD505-2E9C-101B-9397-08002B2CF9AE}" pid="5" name="ItemRetentionFormula">
    <vt:lpwstr>&lt;formula id="Microsoft.Office.RecordsManagement.PolicyFeatures.Expiration.Formula.BuiltIn"&gt;&lt;number&gt;75&lt;/number&gt;&lt;property&gt;Modified&lt;/property&gt;&lt;propertyId&gt;28cf69c5-fa48-462a-b5cd-27b6f9d2bd5f&lt;/propertyId&gt;&lt;period&gt;years&lt;/period&gt;&lt;/formula&gt;</vt:lpwstr>
  </property>
</Properties>
</file>